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50917" w14:textId="77777777" w:rsidR="001B0D3F" w:rsidRDefault="001B0D3F" w:rsidP="0049341F">
      <w:pPr>
        <w:spacing w:after="0" w:line="240" w:lineRule="auto"/>
      </w:pPr>
      <w:bookmarkStart w:id="0" w:name="_GoBack"/>
      <w:bookmarkEnd w:id="0"/>
      <w:r>
        <w:rPr>
          <w:noProof/>
          <w:lang w:val="en-US"/>
        </w:rPr>
        <w:drawing>
          <wp:anchor distT="0" distB="0" distL="114300" distR="114300" simplePos="0" relativeHeight="251658240" behindDoc="0" locked="0" layoutInCell="1" allowOverlap="1" wp14:anchorId="25FC3309" wp14:editId="573E9924">
            <wp:simplePos x="0" y="0"/>
            <wp:positionH relativeFrom="column">
              <wp:posOffset>-117695</wp:posOffset>
            </wp:positionH>
            <wp:positionV relativeFrom="paragraph">
              <wp:posOffset>-248970</wp:posOffset>
            </wp:positionV>
            <wp:extent cx="2110196" cy="1914808"/>
            <wp:effectExtent l="0" t="0" r="0" b="0"/>
            <wp:wrapNone/>
            <wp:docPr id="1" name="Picture 1" descr="A picture containing objec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5080" cy="1919240"/>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0" locked="0" layoutInCell="1" allowOverlap="1" wp14:anchorId="1785CEC0" wp14:editId="035958F8">
            <wp:simplePos x="0" y="0"/>
            <wp:positionH relativeFrom="column">
              <wp:posOffset>4851909</wp:posOffset>
            </wp:positionH>
            <wp:positionV relativeFrom="paragraph">
              <wp:posOffset>-58282</wp:posOffset>
            </wp:positionV>
            <wp:extent cx="1980000" cy="520941"/>
            <wp:effectExtent l="0" t="0" r="1270" b="0"/>
            <wp:wrapNone/>
            <wp:docPr id="2" name="Picture 2"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T_BMARK_RG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0000" cy="520941"/>
                    </a:xfrm>
                    <a:prstGeom prst="rect">
                      <a:avLst/>
                    </a:prstGeom>
                  </pic:spPr>
                </pic:pic>
              </a:graphicData>
            </a:graphic>
            <wp14:sizeRelH relativeFrom="page">
              <wp14:pctWidth>0</wp14:pctWidth>
            </wp14:sizeRelH>
            <wp14:sizeRelV relativeFrom="page">
              <wp14:pctHeight>0</wp14:pctHeight>
            </wp14:sizeRelV>
          </wp:anchor>
        </w:drawing>
      </w:r>
    </w:p>
    <w:p w14:paraId="0E0A8D74" w14:textId="77777777" w:rsidR="001B0D3F" w:rsidRDefault="001B0D3F" w:rsidP="0049341F">
      <w:pPr>
        <w:spacing w:after="0" w:line="240" w:lineRule="auto"/>
      </w:pPr>
    </w:p>
    <w:p w14:paraId="45E1434D" w14:textId="77777777" w:rsidR="001B0D3F" w:rsidRDefault="001B0D3F" w:rsidP="0049341F">
      <w:pPr>
        <w:spacing w:after="0" w:line="240" w:lineRule="auto"/>
      </w:pPr>
    </w:p>
    <w:p w14:paraId="6DDFC899" w14:textId="77777777" w:rsidR="001B0D3F" w:rsidRDefault="001B0D3F" w:rsidP="0049341F">
      <w:pPr>
        <w:spacing w:after="0" w:line="240" w:lineRule="auto"/>
      </w:pPr>
    </w:p>
    <w:p w14:paraId="3D1F7770" w14:textId="77777777" w:rsidR="001B0D3F" w:rsidRDefault="001B0D3F" w:rsidP="0049341F">
      <w:pPr>
        <w:spacing w:after="0" w:line="240" w:lineRule="auto"/>
      </w:pPr>
    </w:p>
    <w:p w14:paraId="7B35E637" w14:textId="77777777" w:rsidR="009638B7" w:rsidRDefault="009638B7" w:rsidP="0049341F">
      <w:pPr>
        <w:spacing w:after="0" w:line="240" w:lineRule="auto"/>
      </w:pPr>
    </w:p>
    <w:p w14:paraId="5DCDC6B6" w14:textId="77777777" w:rsidR="001B0D3F" w:rsidRDefault="001B0D3F" w:rsidP="0049341F">
      <w:pPr>
        <w:spacing w:after="0" w:line="240" w:lineRule="auto"/>
      </w:pPr>
    </w:p>
    <w:p w14:paraId="3A4D2256" w14:textId="77777777" w:rsidR="0049341F" w:rsidRDefault="0049341F" w:rsidP="0049341F">
      <w:pPr>
        <w:spacing w:after="0" w:line="240" w:lineRule="auto"/>
      </w:pPr>
    </w:p>
    <w:p w14:paraId="3C2B1E80" w14:textId="77777777" w:rsidR="0049341F" w:rsidRDefault="0049341F" w:rsidP="0049341F">
      <w:pPr>
        <w:spacing w:after="0" w:line="240" w:lineRule="auto"/>
      </w:pPr>
    </w:p>
    <w:p w14:paraId="5D3DE57F" w14:textId="77777777" w:rsidR="0049341F" w:rsidRDefault="0049341F" w:rsidP="0049341F">
      <w:pPr>
        <w:spacing w:after="0" w:line="240" w:lineRule="auto"/>
      </w:pPr>
    </w:p>
    <w:p w14:paraId="2A9A208A" w14:textId="77777777" w:rsidR="0049341F" w:rsidRDefault="0049341F" w:rsidP="0049341F">
      <w:pPr>
        <w:spacing w:after="0" w:line="240" w:lineRule="auto"/>
      </w:pPr>
    </w:p>
    <w:p w14:paraId="75DF1B15" w14:textId="77777777" w:rsidR="0049341F" w:rsidRDefault="0049341F" w:rsidP="0049341F">
      <w:pPr>
        <w:spacing w:after="0" w:line="240" w:lineRule="auto"/>
        <w:sectPr w:rsidR="0049341F" w:rsidSect="001B0D3F">
          <w:pgSz w:w="11906" w:h="16838"/>
          <w:pgMar w:top="720" w:right="720" w:bottom="720" w:left="720" w:header="708" w:footer="708" w:gutter="0"/>
          <w:cols w:space="708"/>
          <w:docGrid w:linePitch="360"/>
        </w:sectPr>
      </w:pPr>
    </w:p>
    <w:p w14:paraId="3B059F56" w14:textId="459C5CA9" w:rsidR="001B0D3F" w:rsidRDefault="001B0D3F" w:rsidP="0049341F">
      <w:pPr>
        <w:spacing w:after="0" w:line="240" w:lineRule="auto"/>
      </w:pPr>
    </w:p>
    <w:p w14:paraId="60FE85B0" w14:textId="77777777" w:rsidR="006D285E" w:rsidRDefault="006D285E" w:rsidP="006D285E">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9EC51"/>
        <w:tblLook w:val="04A0" w:firstRow="1" w:lastRow="0" w:firstColumn="1" w:lastColumn="0" w:noHBand="0" w:noVBand="1"/>
      </w:tblPr>
      <w:tblGrid>
        <w:gridCol w:w="4879"/>
      </w:tblGrid>
      <w:tr w:rsidR="006D285E" w:rsidRPr="0049341F" w14:paraId="1854AA08" w14:textId="77777777" w:rsidTr="006D285E">
        <w:trPr>
          <w:trHeight w:val="422"/>
        </w:trPr>
        <w:tc>
          <w:tcPr>
            <w:tcW w:w="5095" w:type="dxa"/>
            <w:shd w:val="clear" w:color="auto" w:fill="000000" w:themeFill="text1"/>
          </w:tcPr>
          <w:p w14:paraId="1F5B9AF7" w14:textId="73870713" w:rsidR="006D285E" w:rsidRPr="0052658E" w:rsidRDefault="0052658E" w:rsidP="006477F7">
            <w:pPr>
              <w:jc w:val="both"/>
              <w:rPr>
                <w:rFonts w:ascii="Sylfaen" w:hAnsi="Sylfaen"/>
                <w:b/>
                <w:color w:val="C9EC51"/>
                <w:sz w:val="28"/>
                <w:szCs w:val="28"/>
                <w:lang w:val="en-US"/>
              </w:rPr>
            </w:pPr>
            <w:r>
              <w:rPr>
                <w:rFonts w:ascii="Sylfaen" w:hAnsi="Sylfaen"/>
                <w:b/>
                <w:color w:val="C9EC51"/>
                <w:sz w:val="28"/>
                <w:szCs w:val="28"/>
                <w:lang w:val="ka-GE"/>
              </w:rPr>
              <w:t>ცვლილება საგადასახადო კანონმდებლობაში</w:t>
            </w:r>
          </w:p>
        </w:tc>
      </w:tr>
    </w:tbl>
    <w:p w14:paraId="0AFC63DF" w14:textId="77777777" w:rsidR="006D285E" w:rsidRDefault="006D285E" w:rsidP="006D285E">
      <w:pPr>
        <w:spacing w:after="0" w:line="240" w:lineRule="auto"/>
        <w:rPr>
          <w:rFonts w:ascii="Arial Nova Light" w:hAnsi="Arial Nova Light"/>
          <w:sz w:val="21"/>
          <w:szCs w:val="21"/>
        </w:rPr>
      </w:pPr>
    </w:p>
    <w:p w14:paraId="42851041" w14:textId="6D34B8E7" w:rsidR="00347CDF" w:rsidRPr="00347CDF" w:rsidRDefault="00347CDF" w:rsidP="002B0182">
      <w:pPr>
        <w:jc w:val="both"/>
        <w:rPr>
          <w:rFonts w:ascii="Sylfaen" w:hAnsi="Sylfaen" w:cs="Sylfaen"/>
          <w:b/>
          <w:color w:val="25BAA7"/>
          <w:sz w:val="21"/>
          <w:szCs w:val="21"/>
          <w:lang w:val="ka-GE"/>
        </w:rPr>
      </w:pPr>
      <w:r w:rsidRPr="00347CDF">
        <w:rPr>
          <w:rFonts w:ascii="Sylfaen" w:hAnsi="Sylfaen" w:cs="Sylfaen"/>
          <w:b/>
          <w:color w:val="25BAA7"/>
          <w:sz w:val="21"/>
          <w:szCs w:val="21"/>
          <w:lang w:val="ka-GE"/>
        </w:rPr>
        <w:t>ცვლილება შემოსავლების სამსახურის მიერ საბაჟო მიმართულებით გასაწევი მომსახურებების  საფასურებში</w:t>
      </w:r>
    </w:p>
    <w:p w14:paraId="2A109280" w14:textId="42385B79" w:rsidR="006208D3" w:rsidRDefault="00347CDF" w:rsidP="002B0182">
      <w:pPr>
        <w:jc w:val="both"/>
        <w:rPr>
          <w:rFonts w:ascii="Sylfaen" w:hAnsi="Sylfaen"/>
          <w:lang w:val="ka-GE"/>
        </w:rPr>
      </w:pPr>
      <w:r w:rsidRPr="00347CDF">
        <w:rPr>
          <w:rFonts w:ascii="Sylfaen" w:hAnsi="Sylfaen"/>
          <w:lang w:val="ka-GE"/>
        </w:rPr>
        <w:t>საქართველოს მთავრობის 2022 წლის 14 აპრილ</w:t>
      </w:r>
      <w:r>
        <w:rPr>
          <w:rFonts w:ascii="Sylfaen" w:hAnsi="Sylfaen"/>
          <w:lang w:val="ka-GE"/>
        </w:rPr>
        <w:t>ი</w:t>
      </w:r>
      <w:r w:rsidRPr="00347CDF">
        <w:rPr>
          <w:rFonts w:ascii="Sylfaen" w:hAnsi="Sylfaen"/>
          <w:lang w:val="ka-GE"/>
        </w:rPr>
        <w:t>ს №201 დადგენილებ</w:t>
      </w:r>
      <w:r>
        <w:rPr>
          <w:rFonts w:ascii="Sylfaen" w:hAnsi="Sylfaen"/>
          <w:lang w:val="ka-GE"/>
        </w:rPr>
        <w:t>ით ცვლილება შევიდა</w:t>
      </w:r>
      <w:r w:rsidRPr="00347CDF">
        <w:rPr>
          <w:rFonts w:ascii="Sylfaen" w:hAnsi="Sylfaen"/>
          <w:lang w:val="ka-GE"/>
        </w:rPr>
        <w:t xml:space="preserve"> „საჯარო სამართლის იურიდიული პირის – შემოსავლების სამსახურის მიერ მომსახურების გაწევისათვის საფასურებისა და მათი განაკვეთების დამტკიცების შესახებ“,</w:t>
      </w:r>
      <w:r w:rsidR="006208D3">
        <w:rPr>
          <w:rFonts w:ascii="Sylfaen" w:hAnsi="Sylfaen"/>
          <w:lang w:val="ka-GE"/>
        </w:rPr>
        <w:t xml:space="preserve"> </w:t>
      </w:r>
      <w:r w:rsidR="006208D3" w:rsidRPr="00347CDF">
        <w:rPr>
          <w:rFonts w:ascii="Sylfaen" w:hAnsi="Sylfaen"/>
          <w:lang w:val="ka-GE"/>
        </w:rPr>
        <w:t>საქართველოს მთავრობის 2010 წლის 30 მარტის №96 დადგენილებაში</w:t>
      </w:r>
      <w:r w:rsidR="006208D3">
        <w:rPr>
          <w:rFonts w:ascii="Sylfaen" w:hAnsi="Sylfaen"/>
          <w:lang w:val="ka-GE"/>
        </w:rPr>
        <w:t>,</w:t>
      </w:r>
      <w:r w:rsidR="006208D3" w:rsidRPr="00347CDF">
        <w:rPr>
          <w:rFonts w:ascii="Sylfaen" w:hAnsi="Sylfaen"/>
          <w:lang w:val="ka-GE"/>
        </w:rPr>
        <w:t xml:space="preserve"> </w:t>
      </w:r>
      <w:r w:rsidRPr="00347CDF">
        <w:rPr>
          <w:rFonts w:ascii="Sylfaen" w:hAnsi="Sylfaen"/>
          <w:lang w:val="ka-GE"/>
        </w:rPr>
        <w:t>რომლის მი</w:t>
      </w:r>
      <w:r w:rsidR="006208D3">
        <w:rPr>
          <w:rFonts w:ascii="Sylfaen" w:hAnsi="Sylfaen"/>
          <w:lang w:val="ka-GE"/>
        </w:rPr>
        <w:t xml:space="preserve">ხედვით </w:t>
      </w:r>
      <w:r w:rsidR="006208D3" w:rsidRPr="006208D3">
        <w:rPr>
          <w:rFonts w:ascii="Sylfaen" w:hAnsi="Sylfaen"/>
          <w:lang w:val="ka-GE"/>
        </w:rPr>
        <w:t xml:space="preserve">თვითმომსახურებისა და საქონლის წინასწარი (საქონლის საქართველოს საბაჟო ტერიტორიაზე შემოტანამდე) დეკლარირების წახალისების მიზნით, </w:t>
      </w:r>
      <w:r w:rsidR="006208D3">
        <w:rPr>
          <w:rFonts w:ascii="Sylfaen" w:hAnsi="Sylfaen"/>
          <w:lang w:val="ka-GE"/>
        </w:rPr>
        <w:t>შესაბამისი</w:t>
      </w:r>
      <w:r w:rsidR="006208D3" w:rsidRPr="006208D3">
        <w:rPr>
          <w:rFonts w:ascii="Sylfaen" w:hAnsi="Sylfaen"/>
          <w:lang w:val="ka-GE"/>
        </w:rPr>
        <w:t xml:space="preserve"> საბაჟო პროცედურებისთვის მომსახურების საფასურები განისაზღვრა </w:t>
      </w:r>
      <w:r w:rsidR="006208D3">
        <w:rPr>
          <w:rFonts w:ascii="Sylfaen" w:hAnsi="Sylfaen"/>
          <w:lang w:val="ka-GE"/>
        </w:rPr>
        <w:t>შემცირებული ოდენობებით.</w:t>
      </w:r>
    </w:p>
    <w:p w14:paraId="0FC3B6C6" w14:textId="0FF2BF8E" w:rsidR="006208D3" w:rsidRDefault="006208D3" w:rsidP="002B0182">
      <w:pPr>
        <w:jc w:val="both"/>
        <w:rPr>
          <w:rFonts w:ascii="Sylfaen" w:hAnsi="Sylfaen"/>
          <w:lang w:val="ka-GE"/>
        </w:rPr>
      </w:pPr>
      <w:r>
        <w:rPr>
          <w:rFonts w:ascii="Sylfaen" w:hAnsi="Sylfaen"/>
          <w:lang w:val="ka-GE"/>
        </w:rPr>
        <w:t>ცვლილებების ამოქმედება გათვალისწინებულია 2022 წლის 14 მაისიდან.</w:t>
      </w:r>
    </w:p>
    <w:p w14:paraId="08C33901" w14:textId="6297D707" w:rsidR="00347CDF" w:rsidRDefault="00347CDF" w:rsidP="002B0182">
      <w:pPr>
        <w:jc w:val="both"/>
        <w:rPr>
          <w:rFonts w:ascii="Sylfaen" w:hAnsi="Sylfaen"/>
          <w:lang w:val="ka-GE"/>
        </w:rPr>
      </w:pPr>
    </w:p>
    <w:p w14:paraId="76210A5F" w14:textId="389C4FF3" w:rsidR="00347CDF" w:rsidRPr="00347CDF" w:rsidRDefault="00347CDF" w:rsidP="002B0182">
      <w:pPr>
        <w:jc w:val="both"/>
        <w:rPr>
          <w:rFonts w:ascii="Sylfaen" w:hAnsi="Sylfaen" w:cs="Sylfaen"/>
          <w:b/>
          <w:color w:val="25BAA7"/>
          <w:sz w:val="21"/>
          <w:szCs w:val="21"/>
          <w:lang w:val="ka-GE"/>
        </w:rPr>
      </w:pPr>
      <w:r w:rsidRPr="00347CDF">
        <w:rPr>
          <w:rFonts w:ascii="Sylfaen" w:hAnsi="Sylfaen" w:cs="Sylfaen"/>
          <w:b/>
          <w:color w:val="25BAA7"/>
          <w:sz w:val="21"/>
          <w:szCs w:val="21"/>
          <w:lang w:val="ka-GE"/>
        </w:rPr>
        <w:t>სიტუაციური სახელმძღვანელოები და მეთოდური მითითებები</w:t>
      </w:r>
    </w:p>
    <w:p w14:paraId="3F11E111" w14:textId="3531425B" w:rsidR="002B0182" w:rsidRDefault="002B0182" w:rsidP="002B0182">
      <w:pPr>
        <w:jc w:val="both"/>
        <w:rPr>
          <w:rFonts w:ascii="Sylfaen" w:hAnsi="Sylfaen"/>
          <w:lang w:val="ka-GE"/>
        </w:rPr>
      </w:pPr>
      <w:r>
        <w:rPr>
          <w:rFonts w:ascii="Sylfaen" w:hAnsi="Sylfaen"/>
          <w:lang w:val="en-US"/>
        </w:rPr>
        <w:t xml:space="preserve">2022 </w:t>
      </w:r>
      <w:r>
        <w:rPr>
          <w:rFonts w:ascii="Sylfaen" w:hAnsi="Sylfaen"/>
          <w:lang w:val="ka-GE"/>
        </w:rPr>
        <w:t>წლის აპრილი თვეში დამტკიცდა რამდენიმე ახალი სიტუაციური სახელმძღვანელო და მეთოდური მითითება:</w:t>
      </w:r>
    </w:p>
    <w:p w14:paraId="53C94B26" w14:textId="6F06BA82" w:rsidR="001268FA" w:rsidRPr="002B0182" w:rsidRDefault="002B0182" w:rsidP="002B0182">
      <w:pPr>
        <w:pStyle w:val="ListParagraph"/>
        <w:numPr>
          <w:ilvl w:val="0"/>
          <w:numId w:val="15"/>
        </w:numPr>
        <w:jc w:val="both"/>
        <w:rPr>
          <w:rFonts w:ascii="Sylfaen" w:hAnsi="Sylfaen"/>
          <w:b/>
          <w:bCs/>
          <w:lang w:val="ka-GE"/>
        </w:rPr>
      </w:pPr>
      <w:r w:rsidRPr="002B0182">
        <w:rPr>
          <w:rFonts w:ascii="Sylfaen" w:hAnsi="Sylfaen"/>
          <w:b/>
          <w:bCs/>
          <w:lang w:val="ka-GE"/>
        </w:rPr>
        <w:t>სიტუაციური სახელმძღვანელოები</w:t>
      </w:r>
    </w:p>
    <w:p w14:paraId="2D7E1E46" w14:textId="1C06DB83" w:rsidR="002B0182" w:rsidRDefault="002B0182" w:rsidP="002365CF">
      <w:pPr>
        <w:spacing w:after="200" w:line="276" w:lineRule="auto"/>
        <w:jc w:val="both"/>
        <w:rPr>
          <w:rFonts w:ascii="Sylfaen" w:eastAsia="Times New Roman" w:hAnsi="Sylfaen" w:cs="Times New Roman"/>
          <w:szCs w:val="20"/>
          <w:lang w:val="ka-GE"/>
        </w:rPr>
      </w:pPr>
      <w:r>
        <w:rPr>
          <w:rFonts w:ascii="Sylfaen" w:eastAsia="Times New Roman" w:hAnsi="Sylfaen" w:cs="Times New Roman"/>
          <w:szCs w:val="20"/>
          <w:lang w:val="ka-GE"/>
        </w:rPr>
        <w:t>საქართველოს ფინანსთა სამინისტროს შემოსავლების სამსახურის მიერ აპრილის თვეში დამტკიცდა შემდეგი სიტუაციური სახელმძღვანელოები:</w:t>
      </w:r>
    </w:p>
    <w:p w14:paraId="48000C04" w14:textId="0BF7DD45" w:rsidR="002B0182" w:rsidRPr="002B0182" w:rsidRDefault="002B0182" w:rsidP="002B0182">
      <w:pPr>
        <w:pStyle w:val="ListParagraph"/>
        <w:numPr>
          <w:ilvl w:val="1"/>
          <w:numId w:val="15"/>
        </w:numPr>
        <w:spacing w:after="200" w:line="276" w:lineRule="auto"/>
        <w:jc w:val="both"/>
        <w:rPr>
          <w:rFonts w:ascii="Sylfaen" w:eastAsia="Times New Roman" w:hAnsi="Sylfaen" w:cs="Times New Roman"/>
          <w:szCs w:val="20"/>
          <w:lang w:val="ka-GE"/>
        </w:rPr>
      </w:pPr>
      <w:r>
        <w:rPr>
          <w:rFonts w:ascii="Sylfaen" w:eastAsia="Times New Roman" w:hAnsi="Sylfaen" w:cs="Times New Roman"/>
          <w:szCs w:val="20"/>
          <w:lang w:val="ka-GE"/>
        </w:rPr>
        <w:t>ს</w:t>
      </w:r>
      <w:r w:rsidRPr="002B0182">
        <w:rPr>
          <w:rFonts w:ascii="Sylfaen" w:eastAsia="Times New Roman" w:hAnsi="Sylfaen" w:cs="Times New Roman"/>
          <w:szCs w:val="20"/>
          <w:lang w:val="ka-GE"/>
        </w:rPr>
        <w:t>აერთაშორისო კომპანიის სტატუსის მქონე საწარმოს შეღავათი ქონების გადასახადში N 1429</w:t>
      </w:r>
      <w:r w:rsidR="00D853B8">
        <w:rPr>
          <w:rFonts w:ascii="Sylfaen" w:eastAsia="Times New Roman" w:hAnsi="Sylfaen" w:cs="Times New Roman"/>
          <w:szCs w:val="20"/>
          <w:lang w:val="ka-GE"/>
        </w:rPr>
        <w:t>;</w:t>
      </w:r>
    </w:p>
    <w:p w14:paraId="4E1FFE5D" w14:textId="45DD7515" w:rsidR="002B0182" w:rsidRDefault="002B0182" w:rsidP="002B0182">
      <w:pPr>
        <w:pStyle w:val="ListParagraph"/>
        <w:numPr>
          <w:ilvl w:val="1"/>
          <w:numId w:val="15"/>
        </w:numPr>
        <w:spacing w:after="200" w:line="276" w:lineRule="auto"/>
        <w:jc w:val="both"/>
        <w:rPr>
          <w:rFonts w:ascii="Sylfaen" w:eastAsia="Times New Roman" w:hAnsi="Sylfaen" w:cs="Times New Roman"/>
          <w:szCs w:val="20"/>
          <w:lang w:val="ka-GE"/>
        </w:rPr>
      </w:pPr>
      <w:r w:rsidRPr="002B0182">
        <w:rPr>
          <w:rFonts w:ascii="Sylfaen" w:eastAsia="Times New Roman" w:hAnsi="Sylfaen" w:cs="Times New Roman"/>
          <w:szCs w:val="20"/>
          <w:lang w:val="ka-GE"/>
        </w:rPr>
        <w:t xml:space="preserve">მაღალმთიან დასახლებაში მუდმივად მცხოვრები პირის </w:t>
      </w:r>
      <w:r w:rsidRPr="002B0182">
        <w:rPr>
          <w:rFonts w:ascii="Sylfaen" w:eastAsia="Times New Roman" w:hAnsi="Sylfaen" w:cs="Times New Roman"/>
          <w:szCs w:val="20"/>
          <w:lang w:val="ka-GE"/>
        </w:rPr>
        <w:t>შეღავათი საშემოსავლო გადასახადში N 1516</w:t>
      </w:r>
      <w:r w:rsidR="00D853B8">
        <w:rPr>
          <w:rFonts w:ascii="Sylfaen" w:eastAsia="Times New Roman" w:hAnsi="Sylfaen" w:cs="Times New Roman"/>
          <w:szCs w:val="20"/>
          <w:lang w:val="ka-GE"/>
        </w:rPr>
        <w:t>;</w:t>
      </w:r>
    </w:p>
    <w:p w14:paraId="6C420C2D" w14:textId="77777777" w:rsidR="00D853B8" w:rsidRDefault="00D853B8" w:rsidP="00D853B8">
      <w:pPr>
        <w:jc w:val="both"/>
        <w:rPr>
          <w:rFonts w:ascii="Sylfaen" w:eastAsia="Times New Roman" w:hAnsi="Sylfaen" w:cs="Times New Roman"/>
          <w:b/>
          <w:bCs/>
          <w:szCs w:val="20"/>
          <w:lang w:val="ka-GE"/>
        </w:rPr>
      </w:pPr>
    </w:p>
    <w:p w14:paraId="04FA3BE6" w14:textId="20898D44" w:rsidR="00D853B8" w:rsidRDefault="00D853B8" w:rsidP="00D853B8">
      <w:pPr>
        <w:pStyle w:val="ListParagraph"/>
        <w:numPr>
          <w:ilvl w:val="0"/>
          <w:numId w:val="15"/>
        </w:numPr>
        <w:jc w:val="both"/>
        <w:rPr>
          <w:rFonts w:ascii="Sylfaen" w:eastAsia="Times New Roman" w:hAnsi="Sylfaen" w:cs="Times New Roman"/>
          <w:b/>
          <w:bCs/>
          <w:szCs w:val="20"/>
          <w:lang w:val="ka-GE"/>
        </w:rPr>
      </w:pPr>
      <w:r w:rsidRPr="00D853B8">
        <w:rPr>
          <w:rFonts w:ascii="Sylfaen" w:eastAsia="Times New Roman" w:hAnsi="Sylfaen" w:cs="Times New Roman"/>
          <w:b/>
          <w:bCs/>
          <w:szCs w:val="20"/>
          <w:lang w:val="ka-GE"/>
        </w:rPr>
        <w:t>მეთოდური მითითებები</w:t>
      </w:r>
    </w:p>
    <w:p w14:paraId="0499EFF0" w14:textId="50945D6E" w:rsidR="00D853B8" w:rsidRPr="00D853B8" w:rsidRDefault="00D853B8" w:rsidP="00D853B8">
      <w:pPr>
        <w:jc w:val="both"/>
        <w:rPr>
          <w:rFonts w:ascii="Sylfaen" w:eastAsia="Times New Roman" w:hAnsi="Sylfaen" w:cs="Times New Roman"/>
          <w:szCs w:val="20"/>
          <w:lang w:val="ka-GE"/>
        </w:rPr>
      </w:pPr>
      <w:r w:rsidRPr="00D853B8">
        <w:rPr>
          <w:rFonts w:ascii="Sylfaen" w:eastAsia="Times New Roman" w:hAnsi="Sylfaen" w:cs="Times New Roman"/>
          <w:szCs w:val="20"/>
          <w:lang w:val="ka-GE"/>
        </w:rPr>
        <w:t>შემოსავლების სამსახურის უფროსის 2022 წლის 11 აპრილის №9021 ბრძანებით  დამტკიცდა მეთოდური მითითება „საქართველოს საგადასახადო კოდექსის 269-ე მუხლის მე-7 ნაწილის  და საქართველოს საბაჟო კოდექსის 163-ე მუხლის მე-11 ნაწილის გამოყენების შესახებ“.</w:t>
      </w:r>
    </w:p>
    <w:p w14:paraId="57FD2EA3" w14:textId="1D5DFC17" w:rsidR="00D853B8" w:rsidRPr="00D853B8" w:rsidRDefault="00D853B8" w:rsidP="00D853B8">
      <w:pPr>
        <w:jc w:val="both"/>
        <w:rPr>
          <w:rFonts w:ascii="Sylfaen" w:eastAsia="Times New Roman" w:hAnsi="Sylfaen" w:cs="Times New Roman"/>
          <w:szCs w:val="20"/>
          <w:lang w:val="ka-GE"/>
        </w:rPr>
      </w:pPr>
      <w:r w:rsidRPr="00D853B8">
        <w:rPr>
          <w:rFonts w:ascii="Sylfaen" w:eastAsia="Times New Roman" w:hAnsi="Sylfaen" w:cs="Times New Roman"/>
          <w:szCs w:val="20"/>
          <w:lang w:val="ka-GE"/>
        </w:rPr>
        <w:t>აღნიშნული ბრძანებით დამტკიცდა</w:t>
      </w:r>
      <w:r>
        <w:rPr>
          <w:rFonts w:ascii="Sylfaen" w:eastAsia="Times New Roman" w:hAnsi="Sylfaen" w:cs="Times New Roman"/>
          <w:szCs w:val="20"/>
          <w:lang w:val="ka-GE"/>
        </w:rPr>
        <w:t xml:space="preserve"> </w:t>
      </w:r>
      <w:r w:rsidRPr="00D853B8">
        <w:rPr>
          <w:rFonts w:ascii="Sylfaen" w:eastAsia="Times New Roman" w:hAnsi="Sylfaen" w:cs="Times New Roman"/>
          <w:szCs w:val="20"/>
          <w:lang w:val="ka-GE"/>
        </w:rPr>
        <w:t>„საქართველოს საბაჟო კოდექსის 165-ე მუხლით, 167-ე მუხლის პირველი და მე-3 ნაწილებითა და 172-ე მუხლის პირველი ნაწილით გათვალისწინებული სანქციებისაგან ამავე კოდექსის 163-ე მუხლის მე-11 ნაწილის საფუძველზე პირის გათავისუფლების ღონისძიებები“, დანართი №1-ის სახით</w:t>
      </w:r>
      <w:r>
        <w:rPr>
          <w:rFonts w:ascii="Sylfaen" w:eastAsia="Times New Roman" w:hAnsi="Sylfaen" w:cs="Times New Roman"/>
          <w:szCs w:val="20"/>
          <w:lang w:val="ka-GE"/>
        </w:rPr>
        <w:t xml:space="preserve">, ასევე </w:t>
      </w:r>
      <w:r w:rsidRPr="00D853B8">
        <w:rPr>
          <w:rFonts w:ascii="Sylfaen" w:eastAsia="Times New Roman" w:hAnsi="Sylfaen" w:cs="Times New Roman"/>
          <w:szCs w:val="20"/>
          <w:lang w:val="ka-GE"/>
        </w:rPr>
        <w:t>„საქართველოს საგადასახადო კოდექსის 274-ე და 282-ე მუხლის პირველი ნაწილის საფუძველზე შეფარდებული ჯარიმისაგან ამავე კოდექსის 269-ე მუხლის მე-7 ნაწილის საფუძველზე პირის გათავისუფლების ღონისძიებები“, დანართი №2-ის სახით.</w:t>
      </w:r>
    </w:p>
    <w:p w14:paraId="6D678643" w14:textId="2BF9E976" w:rsidR="004C3119" w:rsidRPr="004C3119" w:rsidRDefault="002B0182" w:rsidP="002365CF">
      <w:pPr>
        <w:spacing w:after="200" w:line="276" w:lineRule="auto"/>
        <w:jc w:val="both"/>
        <w:rPr>
          <w:rFonts w:ascii="Sylfaen" w:eastAsia="Times New Roman" w:hAnsi="Sylfaen" w:cs="Times New Roman"/>
          <w:szCs w:val="20"/>
          <w:lang w:val="ka-GE"/>
        </w:rPr>
      </w:pPr>
      <w:r>
        <w:rPr>
          <w:rFonts w:ascii="Sylfaen" w:eastAsia="Times New Roman" w:hAnsi="Sylfaen" w:cs="Times New Roman"/>
          <w:szCs w:val="20"/>
          <w:lang w:val="ka-GE"/>
        </w:rPr>
        <w:t xml:space="preserve"> </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6"/>
      </w:tblGrid>
      <w:tr w:rsidR="00197CF7" w14:paraId="0AFFB077" w14:textId="77777777" w:rsidTr="002365CF">
        <w:trPr>
          <w:trHeight w:val="557"/>
        </w:trPr>
        <w:tc>
          <w:tcPr>
            <w:tcW w:w="4894" w:type="dxa"/>
            <w:shd w:val="clear" w:color="auto" w:fill="000000" w:themeFill="text1"/>
          </w:tcPr>
          <w:p w14:paraId="16C7D33E" w14:textId="1D293DC4" w:rsidR="00197CF7" w:rsidRDefault="004C3119" w:rsidP="002365CF">
            <w:pPr>
              <w:rPr>
                <w:rFonts w:ascii="Sylfaen" w:hAnsi="Sylfaen"/>
                <w:sz w:val="22"/>
              </w:rPr>
            </w:pPr>
            <w:r>
              <w:rPr>
                <w:rFonts w:ascii="Sylfaen" w:hAnsi="Sylfaen"/>
                <w:b/>
                <w:color w:val="C9EC51"/>
                <w:sz w:val="28"/>
                <w:szCs w:val="28"/>
                <w:lang w:val="ka-GE"/>
              </w:rPr>
              <w:t>სხვა საკანონმდებლო სიახლეები</w:t>
            </w:r>
          </w:p>
        </w:tc>
      </w:tr>
    </w:tbl>
    <w:p w14:paraId="581D7693" w14:textId="52335B13" w:rsidR="00815C70" w:rsidRDefault="00815C70" w:rsidP="00815C70">
      <w:pPr>
        <w:jc w:val="both"/>
        <w:rPr>
          <w:rFonts w:ascii="Sylfaen" w:hAnsi="Sylfaen"/>
          <w:sz w:val="22"/>
          <w:lang w:val="ka-GE"/>
        </w:rPr>
      </w:pPr>
    </w:p>
    <w:p w14:paraId="3462CC4B" w14:textId="2C3D909B" w:rsidR="00A70EF4" w:rsidRPr="00F4023D" w:rsidRDefault="00920633" w:rsidP="002365CF">
      <w:pPr>
        <w:jc w:val="both"/>
        <w:rPr>
          <w:rFonts w:ascii="Sylfaen" w:hAnsi="Sylfaen" w:cs="Sylfaen"/>
          <w:b/>
          <w:color w:val="25BAA7"/>
          <w:sz w:val="21"/>
          <w:szCs w:val="21"/>
          <w:lang w:val="en-US"/>
        </w:rPr>
      </w:pPr>
      <w:r>
        <w:rPr>
          <w:rFonts w:ascii="Sylfaen" w:hAnsi="Sylfaen" w:cs="Sylfaen"/>
          <w:b/>
          <w:color w:val="25BAA7"/>
          <w:sz w:val="21"/>
          <w:szCs w:val="21"/>
          <w:lang w:val="ka-GE"/>
        </w:rPr>
        <w:t>ცვლილება</w:t>
      </w:r>
      <w:r>
        <w:rPr>
          <w:rFonts w:ascii="Sylfaen" w:hAnsi="Sylfaen" w:cs="Sylfaen"/>
          <w:b/>
          <w:color w:val="25BAA7"/>
          <w:sz w:val="21"/>
          <w:szCs w:val="21"/>
          <w:lang w:val="en-US"/>
        </w:rPr>
        <w:t xml:space="preserve"> </w:t>
      </w:r>
      <w:r w:rsidR="00A70EF4">
        <w:rPr>
          <w:rFonts w:ascii="Sylfaen" w:hAnsi="Sylfaen" w:cs="Sylfaen"/>
          <w:b/>
          <w:color w:val="25BAA7"/>
          <w:sz w:val="21"/>
          <w:szCs w:val="21"/>
          <w:lang w:val="ka-GE"/>
        </w:rPr>
        <w:t xml:space="preserve">საქართველოს სივრცის დაგეგმარების, არქიტექტურული და სამშენებლო საქმიანობის კოდექსში </w:t>
      </w:r>
    </w:p>
    <w:p w14:paraId="4819CB0A" w14:textId="7B07DD1A" w:rsidR="00A70EF4" w:rsidRDefault="00A70EF4" w:rsidP="002365CF">
      <w:pPr>
        <w:jc w:val="both"/>
        <w:rPr>
          <w:rFonts w:ascii="Sylfaen" w:hAnsi="Sylfaen"/>
          <w:szCs w:val="20"/>
          <w:lang w:val="ka-GE"/>
        </w:rPr>
      </w:pPr>
      <w:r w:rsidRPr="00A70EF4">
        <w:rPr>
          <w:rFonts w:ascii="Sylfaen" w:hAnsi="Sylfaen"/>
          <w:szCs w:val="20"/>
          <w:lang w:val="ka-GE"/>
        </w:rPr>
        <w:t>საქართველოს პარლამენტ</w:t>
      </w:r>
      <w:r w:rsidR="0009411C">
        <w:rPr>
          <w:rFonts w:ascii="Sylfaen" w:hAnsi="Sylfaen"/>
          <w:szCs w:val="20"/>
          <w:lang w:val="ka-GE"/>
        </w:rPr>
        <w:t>მა 2022 წლის 12 აპრილს მესამე მოსმენით მიიღო კანონი</w:t>
      </w:r>
      <w:r>
        <w:rPr>
          <w:rFonts w:ascii="Sylfaen" w:hAnsi="Sylfaen"/>
          <w:szCs w:val="20"/>
          <w:lang w:val="ka-GE"/>
        </w:rPr>
        <w:t xml:space="preserve"> საქართველოს სივრცის დაგეგმარების, არქიტექტურული და სამშენებლო საქმიანობის კოდექსში ცვლილების განხორციელების შესახებ. </w:t>
      </w:r>
      <w:r w:rsidR="0009411C">
        <w:rPr>
          <w:rFonts w:ascii="Sylfaen" w:hAnsi="Sylfaen"/>
          <w:szCs w:val="20"/>
          <w:lang w:val="ka-GE"/>
        </w:rPr>
        <w:t xml:space="preserve">აღნიშნული </w:t>
      </w:r>
      <w:r>
        <w:rPr>
          <w:rFonts w:ascii="Sylfaen" w:hAnsi="Sylfaen"/>
          <w:szCs w:val="20"/>
          <w:lang w:val="ka-GE"/>
        </w:rPr>
        <w:t>ცვლილები</w:t>
      </w:r>
      <w:r w:rsidR="0009411C">
        <w:rPr>
          <w:rFonts w:ascii="Sylfaen" w:hAnsi="Sylfaen"/>
          <w:szCs w:val="20"/>
          <w:lang w:val="ka-GE"/>
        </w:rPr>
        <w:t>თ</w:t>
      </w:r>
      <w:r>
        <w:rPr>
          <w:rFonts w:ascii="Sylfaen" w:hAnsi="Sylfaen"/>
          <w:szCs w:val="20"/>
          <w:lang w:val="ka-GE"/>
        </w:rPr>
        <w:t xml:space="preserve"> </w:t>
      </w:r>
      <w:r w:rsidR="0009411C">
        <w:rPr>
          <w:rFonts w:ascii="Sylfaen" w:hAnsi="Sylfaen"/>
          <w:szCs w:val="20"/>
          <w:lang w:val="ka-GE"/>
        </w:rPr>
        <w:t>ხდება</w:t>
      </w:r>
      <w:r>
        <w:rPr>
          <w:rFonts w:ascii="Sylfaen" w:hAnsi="Sylfaen"/>
          <w:szCs w:val="20"/>
          <w:lang w:val="ka-GE"/>
        </w:rPr>
        <w:t xml:space="preserve"> </w:t>
      </w:r>
      <w:r w:rsidRPr="00A70EF4">
        <w:rPr>
          <w:rFonts w:ascii="Sylfaen" w:hAnsi="Sylfaen"/>
          <w:szCs w:val="20"/>
          <w:lang w:val="ka-GE"/>
        </w:rPr>
        <w:t>მშენებლობის საჯარო ზედამხედველობის ორგანოს მიერ მიღებული დადგენილებების ზემდგომ ადმინისტრაციულ ორგანოში გასაჩივრების საფუძველზე მიღებული გადაწყვეტილებები</w:t>
      </w:r>
      <w:r>
        <w:rPr>
          <w:rFonts w:ascii="Sylfaen" w:hAnsi="Sylfaen"/>
          <w:szCs w:val="20"/>
          <w:lang w:val="ka-GE"/>
        </w:rPr>
        <w:t xml:space="preserve">ს </w:t>
      </w:r>
      <w:r w:rsidRPr="00A70EF4">
        <w:rPr>
          <w:rFonts w:ascii="Sylfaen" w:hAnsi="Sylfaen"/>
          <w:szCs w:val="20"/>
          <w:lang w:val="ka-GE"/>
        </w:rPr>
        <w:lastRenderedPageBreak/>
        <w:t>მხარეებ</w:t>
      </w:r>
      <w:r>
        <w:rPr>
          <w:rFonts w:ascii="Sylfaen" w:hAnsi="Sylfaen"/>
          <w:szCs w:val="20"/>
          <w:lang w:val="ka-GE"/>
        </w:rPr>
        <w:t xml:space="preserve">ისათვის ჩაბარების წესის ახლებურად რეგულირება. </w:t>
      </w:r>
    </w:p>
    <w:p w14:paraId="65B28EB4" w14:textId="78AF228D" w:rsidR="0042130C" w:rsidRPr="006848F7" w:rsidRDefault="0009411C" w:rsidP="002365CF">
      <w:pPr>
        <w:jc w:val="both"/>
        <w:rPr>
          <w:lang w:val="en-US"/>
        </w:rPr>
      </w:pPr>
      <w:r>
        <w:rPr>
          <w:rFonts w:ascii="Sylfaen" w:hAnsi="Sylfaen"/>
          <w:szCs w:val="20"/>
          <w:lang w:val="ka-GE"/>
        </w:rPr>
        <w:t>განხორციელებული საკანონმდებლო ცვლილებების თაობაზე მეტი ინფორმაცია მოცემულია ჩვენს 2022 წლის თებერვლის</w:t>
      </w:r>
      <w:r w:rsidR="00181C7B">
        <w:rPr>
          <w:rFonts w:ascii="Sylfaen" w:hAnsi="Sylfaen"/>
          <w:szCs w:val="20"/>
          <w:lang w:val="ka-GE"/>
        </w:rPr>
        <w:t xml:space="preserve"> მიმოხილვაში</w:t>
      </w:r>
      <w:r>
        <w:rPr>
          <w:rFonts w:ascii="Sylfaen" w:hAnsi="Sylfaen"/>
          <w:szCs w:val="20"/>
          <w:lang w:val="ka-GE"/>
        </w:rPr>
        <w:t xml:space="preserve"> სა</w:t>
      </w:r>
      <w:r w:rsidR="00181C7B">
        <w:rPr>
          <w:rFonts w:ascii="Sylfaen" w:hAnsi="Sylfaen"/>
          <w:szCs w:val="20"/>
          <w:lang w:val="ka-GE"/>
        </w:rPr>
        <w:t xml:space="preserve">კანონმდებლო ცვლილებების შესახებ. კანონი ამოქმედდა 2022 წლის 1 მაისიდან. </w:t>
      </w:r>
    </w:p>
    <w:p w14:paraId="3DF9B83F" w14:textId="77777777" w:rsidR="006174C6" w:rsidRPr="006174C6" w:rsidRDefault="006174C6" w:rsidP="002365CF">
      <w:pPr>
        <w:jc w:val="both"/>
        <w:rPr>
          <w:rFonts w:asciiTheme="minorHAnsi" w:hAnsiTheme="minorHAnsi"/>
          <w:szCs w:val="20"/>
          <w:lang w:val="ka-GE"/>
        </w:rPr>
      </w:pPr>
    </w:p>
    <w:p w14:paraId="06129A14" w14:textId="658999B4" w:rsidR="0062159B" w:rsidRPr="006848F7" w:rsidRDefault="006848F7" w:rsidP="002365CF">
      <w:pPr>
        <w:jc w:val="both"/>
        <w:rPr>
          <w:rFonts w:ascii="Sylfaen" w:hAnsi="Sylfaen" w:cs="Sylfaen"/>
          <w:b/>
          <w:color w:val="25BAA7"/>
          <w:sz w:val="21"/>
          <w:szCs w:val="21"/>
          <w:lang w:val="ka-GE"/>
        </w:rPr>
      </w:pPr>
      <w:r>
        <w:rPr>
          <w:rFonts w:ascii="Sylfaen" w:hAnsi="Sylfaen" w:cs="Sylfaen"/>
          <w:b/>
          <w:color w:val="25BAA7"/>
          <w:sz w:val="21"/>
          <w:szCs w:val="21"/>
          <w:lang w:val="ka-GE"/>
        </w:rPr>
        <w:t xml:space="preserve">კანონი მომხმარებლის უფლებების დაცვის შესახებ </w:t>
      </w:r>
    </w:p>
    <w:p w14:paraId="75A74E94" w14:textId="7AE15D5F" w:rsidR="0062159B" w:rsidRDefault="0013035A" w:rsidP="00756297">
      <w:pPr>
        <w:jc w:val="both"/>
        <w:rPr>
          <w:rFonts w:ascii="Sylfaen" w:hAnsi="Sylfaen"/>
          <w:szCs w:val="20"/>
          <w:lang w:val="en-US"/>
        </w:rPr>
      </w:pPr>
      <w:r>
        <w:rPr>
          <w:rFonts w:ascii="Sylfaen" w:hAnsi="Sylfaen"/>
          <w:szCs w:val="20"/>
          <w:lang w:val="ka-GE"/>
        </w:rPr>
        <w:t xml:space="preserve">2022 წლის </w:t>
      </w:r>
      <w:r w:rsidR="006848F7">
        <w:rPr>
          <w:rFonts w:ascii="Sylfaen" w:hAnsi="Sylfaen"/>
          <w:szCs w:val="20"/>
          <w:lang w:val="ka-GE"/>
        </w:rPr>
        <w:t>29</w:t>
      </w:r>
      <w:r>
        <w:rPr>
          <w:rFonts w:ascii="Sylfaen" w:hAnsi="Sylfaen"/>
          <w:szCs w:val="20"/>
          <w:lang w:val="ka-GE"/>
        </w:rPr>
        <w:t xml:space="preserve"> მარტ</w:t>
      </w:r>
      <w:r w:rsidR="006848F7">
        <w:rPr>
          <w:rFonts w:ascii="Sylfaen" w:hAnsi="Sylfaen"/>
          <w:szCs w:val="20"/>
          <w:lang w:val="ka-GE"/>
        </w:rPr>
        <w:t>ს</w:t>
      </w:r>
      <w:r>
        <w:rPr>
          <w:rFonts w:ascii="Sylfaen" w:hAnsi="Sylfaen"/>
          <w:szCs w:val="20"/>
          <w:lang w:val="ka-GE"/>
        </w:rPr>
        <w:t xml:space="preserve"> </w:t>
      </w:r>
      <w:r w:rsidR="006848F7">
        <w:rPr>
          <w:rFonts w:ascii="Sylfaen" w:hAnsi="Sylfaen"/>
          <w:szCs w:val="20"/>
          <w:lang w:val="ka-GE"/>
        </w:rPr>
        <w:t>საქართველოს პარლამენტმა მესამე მოსმენით მიიღო საქართველოს კანონი მომხმარებლის უფლებების დაცვის შესახებ. აღნიშნული კანონის პროექტი ჯერ კიდევ 2019 წლის 12 ივნისს იქნა პარლამენტში ინიცირებული</w:t>
      </w:r>
      <w:r w:rsidR="00D64223">
        <w:rPr>
          <w:rFonts w:ascii="Sylfaen" w:hAnsi="Sylfaen"/>
          <w:szCs w:val="20"/>
          <w:lang w:val="ka-GE"/>
        </w:rPr>
        <w:t>, რათა 2019 წლის 1 სექტემბრამდე შესრულებულიყო საქართ</w:t>
      </w:r>
      <w:r w:rsidR="000B7E09">
        <w:rPr>
          <w:rFonts w:ascii="Sylfaen" w:hAnsi="Sylfaen"/>
          <w:szCs w:val="20"/>
          <w:lang w:val="ka-GE"/>
        </w:rPr>
        <w:t>ვ</w:t>
      </w:r>
      <w:r w:rsidR="00D64223">
        <w:rPr>
          <w:rFonts w:ascii="Sylfaen" w:hAnsi="Sylfaen"/>
          <w:szCs w:val="20"/>
          <w:lang w:val="ka-GE"/>
        </w:rPr>
        <w:t>ელოს კანონმდებლობის, მათ შორის მომხმარებელთა დაცვის შესახებ კანონმდებლობის დაახლოების ვალდებულება</w:t>
      </w:r>
      <w:r w:rsidR="00946AEA">
        <w:rPr>
          <w:rFonts w:ascii="Sylfaen" w:hAnsi="Sylfaen"/>
          <w:szCs w:val="20"/>
          <w:lang w:val="en-US"/>
        </w:rPr>
        <w:t xml:space="preserve"> </w:t>
      </w:r>
      <w:proofErr w:type="spellStart"/>
      <w:r w:rsidR="00946AEA" w:rsidRPr="00946AEA">
        <w:rPr>
          <w:rFonts w:ascii="Sylfaen" w:hAnsi="Sylfaen"/>
          <w:szCs w:val="20"/>
          <w:lang w:val="en-US"/>
        </w:rPr>
        <w:t>ევროკავშირის</w:t>
      </w:r>
      <w:proofErr w:type="spellEnd"/>
      <w:r w:rsidR="00946AEA" w:rsidRPr="00946AEA">
        <w:rPr>
          <w:rFonts w:ascii="Sylfaen" w:hAnsi="Sylfaen"/>
          <w:szCs w:val="20"/>
          <w:lang w:val="en-US"/>
        </w:rPr>
        <w:t xml:space="preserve"> </w:t>
      </w:r>
      <w:proofErr w:type="spellStart"/>
      <w:r w:rsidR="00946AEA" w:rsidRPr="00946AEA">
        <w:rPr>
          <w:rFonts w:ascii="Sylfaen" w:hAnsi="Sylfaen"/>
          <w:szCs w:val="20"/>
          <w:lang w:val="en-US"/>
        </w:rPr>
        <w:t>აქტებთან</w:t>
      </w:r>
      <w:proofErr w:type="spellEnd"/>
      <w:r w:rsidR="00946AEA" w:rsidRPr="00946AEA">
        <w:rPr>
          <w:rFonts w:ascii="Sylfaen" w:hAnsi="Sylfaen"/>
          <w:szCs w:val="20"/>
          <w:lang w:val="en-US"/>
        </w:rPr>
        <w:t xml:space="preserve">, </w:t>
      </w:r>
      <w:proofErr w:type="spellStart"/>
      <w:r w:rsidR="00946AEA" w:rsidRPr="00946AEA">
        <w:rPr>
          <w:rFonts w:ascii="Sylfaen" w:hAnsi="Sylfaen"/>
          <w:szCs w:val="20"/>
          <w:lang w:val="en-US"/>
        </w:rPr>
        <w:t>მათ</w:t>
      </w:r>
      <w:proofErr w:type="spellEnd"/>
      <w:r w:rsidR="00946AEA" w:rsidRPr="00946AEA">
        <w:rPr>
          <w:rFonts w:ascii="Sylfaen" w:hAnsi="Sylfaen"/>
          <w:szCs w:val="20"/>
          <w:lang w:val="en-US"/>
        </w:rPr>
        <w:t xml:space="preserve"> </w:t>
      </w:r>
      <w:proofErr w:type="spellStart"/>
      <w:r w:rsidR="00946AEA" w:rsidRPr="00946AEA">
        <w:rPr>
          <w:rFonts w:ascii="Sylfaen" w:hAnsi="Sylfaen"/>
          <w:szCs w:val="20"/>
          <w:lang w:val="en-US"/>
        </w:rPr>
        <w:t>შორის</w:t>
      </w:r>
      <w:proofErr w:type="spellEnd"/>
      <w:r w:rsidR="00946AEA">
        <w:rPr>
          <w:rFonts w:ascii="Sylfaen" w:hAnsi="Sylfaen"/>
          <w:szCs w:val="20"/>
          <w:lang w:val="en-US"/>
        </w:rPr>
        <w:t xml:space="preserve"> </w:t>
      </w:r>
      <w:proofErr w:type="spellStart"/>
      <w:r w:rsidR="00946AEA" w:rsidRPr="00946AEA">
        <w:rPr>
          <w:rFonts w:ascii="Sylfaen" w:hAnsi="Sylfaen"/>
          <w:szCs w:val="20"/>
          <w:lang w:val="en-US"/>
        </w:rPr>
        <w:t>დირექტივებთან</w:t>
      </w:r>
      <w:proofErr w:type="spellEnd"/>
      <w:r w:rsidR="00946AEA" w:rsidRPr="00946AEA">
        <w:rPr>
          <w:rFonts w:ascii="Sylfaen" w:hAnsi="Sylfaen"/>
          <w:szCs w:val="20"/>
          <w:lang w:val="en-US"/>
        </w:rPr>
        <w:t xml:space="preserve">, </w:t>
      </w:r>
      <w:proofErr w:type="spellStart"/>
      <w:r w:rsidR="00946AEA" w:rsidRPr="00946AEA">
        <w:rPr>
          <w:rFonts w:ascii="Sylfaen" w:hAnsi="Sylfaen"/>
          <w:szCs w:val="20"/>
          <w:lang w:val="en-US"/>
        </w:rPr>
        <w:t>რეგულაციებსა</w:t>
      </w:r>
      <w:proofErr w:type="spellEnd"/>
      <w:r w:rsidR="00946AEA" w:rsidRPr="00946AEA">
        <w:rPr>
          <w:rFonts w:ascii="Sylfaen" w:hAnsi="Sylfaen"/>
          <w:szCs w:val="20"/>
          <w:lang w:val="en-US"/>
        </w:rPr>
        <w:t xml:space="preserve"> და </w:t>
      </w:r>
      <w:proofErr w:type="spellStart"/>
      <w:r w:rsidR="00946AEA" w:rsidRPr="00946AEA">
        <w:rPr>
          <w:rFonts w:ascii="Sylfaen" w:hAnsi="Sylfaen"/>
          <w:szCs w:val="20"/>
          <w:lang w:val="en-US"/>
        </w:rPr>
        <w:t>რეკომენდაციებთან</w:t>
      </w:r>
      <w:proofErr w:type="spellEnd"/>
      <w:r w:rsidR="00946AEA">
        <w:rPr>
          <w:rFonts w:ascii="Sylfaen" w:hAnsi="Sylfaen"/>
          <w:szCs w:val="20"/>
          <w:lang w:val="en-US"/>
        </w:rPr>
        <w:t>.</w:t>
      </w:r>
    </w:p>
    <w:p w14:paraId="55D70A4B" w14:textId="39EE22C7" w:rsidR="00946AEA" w:rsidRDefault="00946AEA" w:rsidP="00D43080">
      <w:pPr>
        <w:jc w:val="both"/>
        <w:rPr>
          <w:rFonts w:ascii="Sylfaen" w:hAnsi="Sylfaen"/>
          <w:szCs w:val="20"/>
          <w:lang w:val="ka-GE"/>
        </w:rPr>
      </w:pPr>
      <w:r>
        <w:rPr>
          <w:rFonts w:ascii="Sylfaen" w:hAnsi="Sylfaen"/>
          <w:szCs w:val="20"/>
          <w:lang w:val="ka-GE"/>
        </w:rPr>
        <w:t xml:space="preserve">სწორედ </w:t>
      </w:r>
      <w:r w:rsidRPr="00946AEA">
        <w:rPr>
          <w:rFonts w:ascii="Sylfaen" w:hAnsi="Sylfaen"/>
          <w:szCs w:val="20"/>
          <w:lang w:val="ka-GE"/>
        </w:rPr>
        <w:t>საქართველოსა და ევროკავშირს შორის დადებული ასოცირების შესახებ შეთანხმები</w:t>
      </w:r>
      <w:r>
        <w:rPr>
          <w:rFonts w:ascii="Sylfaen" w:hAnsi="Sylfaen"/>
          <w:szCs w:val="20"/>
          <w:lang w:val="ka-GE"/>
        </w:rPr>
        <w:t>თ ნაკისრი ვალდებულებების შესრულებით იქნა ნაკარნახევი მომხმარებლის დაცვის მაღალი დონის უზრუნველყოფაზე ორიენტირებული საკანონმდებლო აქტი</w:t>
      </w:r>
      <w:r w:rsidR="00096041">
        <w:rPr>
          <w:rFonts w:ascii="Sylfaen" w:hAnsi="Sylfaen"/>
          <w:szCs w:val="20"/>
          <w:lang w:val="ka-GE"/>
        </w:rPr>
        <w:t>ს</w:t>
      </w:r>
      <w:r>
        <w:rPr>
          <w:rFonts w:ascii="Sylfaen" w:hAnsi="Sylfaen"/>
          <w:szCs w:val="20"/>
          <w:lang w:val="ka-GE"/>
        </w:rPr>
        <w:t xml:space="preserve"> შემუშავება, რომელიც </w:t>
      </w:r>
      <w:r w:rsidR="00D43080">
        <w:rPr>
          <w:rFonts w:ascii="Sylfaen" w:hAnsi="Sylfaen"/>
          <w:szCs w:val="20"/>
          <w:lang w:val="ka-GE"/>
        </w:rPr>
        <w:t xml:space="preserve">შექმნის მომხმარებელთა დაცვის ძირითად საფუძველს. კანონი მიზნად ისახავს, რომ მომხმარებელს </w:t>
      </w:r>
      <w:r w:rsidR="00D43080" w:rsidRPr="00D43080">
        <w:rPr>
          <w:rFonts w:ascii="Sylfaen" w:hAnsi="Sylfaen"/>
          <w:szCs w:val="20"/>
          <w:lang w:val="ka-GE"/>
        </w:rPr>
        <w:t>პროდუქტის თაობაზე მაქსიმალურად ინფორმირებული გადაწყვეტილების მიღების შესაძლებლობა ჰქონდეს. იგი ითვალისწინებს ახალ რეგულაციებს, რომლებიც მოხმარებელს დაიცავს ხელშეკრულების უსამართლო სტანდარტული</w:t>
      </w:r>
      <w:r w:rsidR="00D43080">
        <w:rPr>
          <w:rFonts w:ascii="Sylfaen" w:hAnsi="Sylfaen"/>
          <w:szCs w:val="20"/>
          <w:lang w:val="ka-GE"/>
        </w:rPr>
        <w:t xml:space="preserve"> </w:t>
      </w:r>
      <w:r w:rsidR="00D43080" w:rsidRPr="00D43080">
        <w:rPr>
          <w:rFonts w:ascii="Sylfaen" w:hAnsi="Sylfaen"/>
          <w:szCs w:val="20"/>
          <w:lang w:val="ka-GE"/>
        </w:rPr>
        <w:t>პირობებისა და უსამართლო კომერციული პრაქტიკისგან, განსაზღვრავს პროდუქტის შეძენისა და მომსახურების მიღებისას მომხმარებლისთვის სავალდებულო ინფორმაციის მიწოდების ვალდებულებას, არეგულირებს სარეწს გარეთ დადებული</w:t>
      </w:r>
      <w:r w:rsidR="00D43080">
        <w:rPr>
          <w:rFonts w:ascii="Sylfaen" w:hAnsi="Sylfaen"/>
          <w:szCs w:val="20"/>
          <w:lang w:val="ka-GE"/>
        </w:rPr>
        <w:t xml:space="preserve"> </w:t>
      </w:r>
      <w:r w:rsidR="00D43080" w:rsidRPr="00D43080">
        <w:rPr>
          <w:rFonts w:ascii="Sylfaen" w:hAnsi="Sylfaen"/>
          <w:szCs w:val="20"/>
          <w:lang w:val="ka-GE"/>
        </w:rPr>
        <w:t>და დისტანციური ხელშეკრულების პირობებს და განსაზღვრავს ხელშეკრულებაზე უარის თქმის საფუძვლებს.</w:t>
      </w:r>
    </w:p>
    <w:p w14:paraId="7FB8F1AC" w14:textId="240CDDD4" w:rsidR="00096041" w:rsidRPr="000B7E09" w:rsidRDefault="00096041" w:rsidP="00096041">
      <w:pPr>
        <w:pStyle w:val="ListParagraph"/>
        <w:numPr>
          <w:ilvl w:val="0"/>
          <w:numId w:val="14"/>
        </w:numPr>
        <w:jc w:val="both"/>
        <w:rPr>
          <w:rFonts w:ascii="Sylfaen" w:hAnsi="Sylfaen"/>
          <w:b/>
          <w:bCs/>
          <w:szCs w:val="20"/>
          <w:lang w:val="en-US"/>
        </w:rPr>
      </w:pPr>
      <w:r w:rsidRPr="000B7E09">
        <w:rPr>
          <w:rFonts w:ascii="Sylfaen" w:hAnsi="Sylfaen"/>
          <w:b/>
          <w:bCs/>
          <w:szCs w:val="20"/>
          <w:lang w:val="ka-GE"/>
        </w:rPr>
        <w:t>მომხმარებლის უფლებების დაცვა, დარღვევების პრევენცია და სწორი პრაქტიკის წახალისება</w:t>
      </w:r>
    </w:p>
    <w:p w14:paraId="1CA6CA7C" w14:textId="06E3B10A" w:rsidR="0022389F" w:rsidRPr="00504CC6" w:rsidRDefault="0022389F" w:rsidP="0022389F">
      <w:pPr>
        <w:jc w:val="both"/>
        <w:rPr>
          <w:rFonts w:ascii="Sylfaen" w:hAnsi="Sylfaen"/>
          <w:szCs w:val="20"/>
          <w:lang w:val="en-US"/>
        </w:rPr>
      </w:pPr>
      <w:r>
        <w:rPr>
          <w:rFonts w:ascii="Sylfaen" w:hAnsi="Sylfaen"/>
          <w:szCs w:val="20"/>
          <w:lang w:val="ka-GE"/>
        </w:rPr>
        <w:t xml:space="preserve">კანონის მიღება მიზნად ისახავს მომხმარებელთა უფლებების დაცვას და ამ მიზნის მიღწევის გზად </w:t>
      </w:r>
      <w:r w:rsidR="00196D70">
        <w:rPr>
          <w:rFonts w:ascii="Sylfaen" w:hAnsi="Sylfaen"/>
          <w:szCs w:val="20"/>
          <w:lang w:val="ka-GE"/>
        </w:rPr>
        <w:t xml:space="preserve">უპირატესად </w:t>
      </w:r>
      <w:r>
        <w:rPr>
          <w:rFonts w:ascii="Sylfaen" w:hAnsi="Sylfaen"/>
          <w:szCs w:val="20"/>
          <w:lang w:val="ka-GE"/>
        </w:rPr>
        <w:t xml:space="preserve">პრევენციული მექანიზმების გამოყენებაა </w:t>
      </w:r>
      <w:r w:rsidR="00196D70">
        <w:rPr>
          <w:rFonts w:ascii="Sylfaen" w:hAnsi="Sylfaen"/>
          <w:szCs w:val="20"/>
          <w:lang w:val="ka-GE"/>
        </w:rPr>
        <w:t>გათვალისწინებული. კანონის მიზანი არა მოვაჭრის დასჯა</w:t>
      </w:r>
      <w:r w:rsidR="00504CC6">
        <w:rPr>
          <w:rFonts w:ascii="Sylfaen" w:hAnsi="Sylfaen"/>
          <w:szCs w:val="20"/>
          <w:lang w:val="ka-GE"/>
        </w:rPr>
        <w:t>ა</w:t>
      </w:r>
      <w:r w:rsidR="00196D70">
        <w:rPr>
          <w:rFonts w:ascii="Sylfaen" w:hAnsi="Sylfaen"/>
          <w:szCs w:val="20"/>
          <w:lang w:val="ka-GE"/>
        </w:rPr>
        <w:t xml:space="preserve">, მის მიერ მომხმარებლის </w:t>
      </w:r>
      <w:r w:rsidR="00196D70">
        <w:rPr>
          <w:rFonts w:ascii="Sylfaen" w:hAnsi="Sylfaen"/>
          <w:szCs w:val="20"/>
          <w:lang w:val="ka-GE"/>
        </w:rPr>
        <w:t xml:space="preserve">უფლებების დარღვევისთვის, არამედ </w:t>
      </w:r>
      <w:r w:rsidR="00504CC6">
        <w:rPr>
          <w:rFonts w:ascii="Sylfaen" w:hAnsi="Sylfaen"/>
          <w:szCs w:val="20"/>
          <w:lang w:val="ka-GE"/>
        </w:rPr>
        <w:t xml:space="preserve">მისი მიზანია მოვაჭრის </w:t>
      </w:r>
      <w:r w:rsidR="00196D70">
        <w:rPr>
          <w:rFonts w:ascii="Sylfaen" w:hAnsi="Sylfaen"/>
          <w:szCs w:val="20"/>
          <w:lang w:val="ka-GE"/>
        </w:rPr>
        <w:t xml:space="preserve">მიერ სწორი სავაჭრო პრაქტიკის დანერგვა და წახალისება, რამაც საბოლოოდ კონკურენციის გაზრდას უნდა შეუწყოს ხელი. კანონი მომხმარებლის უფლებების დაცვის მიზნით ითვალისწინებს ნორმატიული აქტების იერარქიასაც და აწესებს, რომ იმ კანონს ენიჭება უპირატესი ძალა, რომელიც მომხმარებლის უფლებების დაცვის უფრო მაღალ სტანდარტს აწესებს. </w:t>
      </w:r>
    </w:p>
    <w:p w14:paraId="54F22B7A" w14:textId="4487D241" w:rsidR="00096041" w:rsidRPr="005E602A" w:rsidRDefault="00096041" w:rsidP="00096041">
      <w:pPr>
        <w:pStyle w:val="ListParagraph"/>
        <w:numPr>
          <w:ilvl w:val="0"/>
          <w:numId w:val="14"/>
        </w:numPr>
        <w:jc w:val="both"/>
        <w:rPr>
          <w:rFonts w:ascii="Sylfaen" w:hAnsi="Sylfaen"/>
          <w:b/>
          <w:bCs/>
          <w:szCs w:val="20"/>
          <w:lang w:val="en-US"/>
        </w:rPr>
      </w:pPr>
      <w:r w:rsidRPr="005E602A">
        <w:rPr>
          <w:rFonts w:ascii="Sylfaen" w:hAnsi="Sylfaen"/>
          <w:b/>
          <w:bCs/>
          <w:szCs w:val="20"/>
          <w:lang w:val="ka-GE"/>
        </w:rPr>
        <w:t>მომხმარებლის დაცვა ხელშეკრულების უსამართლო სტანდარტული პირობებისგან და უსამართლო კომერციული პრაქტიკისგან</w:t>
      </w:r>
    </w:p>
    <w:p w14:paraId="2999F2FD" w14:textId="3B55458C" w:rsidR="005E602A" w:rsidRPr="005E602A" w:rsidRDefault="005E602A" w:rsidP="005E602A">
      <w:pPr>
        <w:jc w:val="both"/>
        <w:rPr>
          <w:rFonts w:ascii="Sylfaen" w:hAnsi="Sylfaen"/>
          <w:szCs w:val="20"/>
          <w:lang w:val="ka-GE"/>
        </w:rPr>
      </w:pPr>
      <w:r w:rsidRPr="005E602A">
        <w:rPr>
          <w:rFonts w:ascii="Sylfaen" w:hAnsi="Sylfaen"/>
          <w:szCs w:val="20"/>
          <w:lang w:val="ka-GE"/>
        </w:rPr>
        <w:t>კანონი</w:t>
      </w:r>
      <w:r>
        <w:rPr>
          <w:rFonts w:ascii="Sylfaen" w:hAnsi="Sylfaen"/>
          <w:szCs w:val="20"/>
          <w:lang w:val="ka-GE"/>
        </w:rPr>
        <w:t xml:space="preserve"> ერთის მხრივ ადგენს მომხმარებლების დაცვის გარანტიებს ხელშეკრულების უსამართლო სტანდარტული პირობებისგან, ხოლო მეორეს მხრივ ითვალისწინებს შესაბამის პირობებს </w:t>
      </w:r>
      <w:r w:rsidR="00FA6B5C">
        <w:rPr>
          <w:rFonts w:ascii="Sylfaen" w:hAnsi="Sylfaen"/>
          <w:szCs w:val="20"/>
          <w:lang w:val="ka-GE"/>
        </w:rPr>
        <w:t xml:space="preserve">მოვაჭრეების ინტერესების დასაცავადაც, რათა არ მოხდეს მათი უფლებების და ინტერესების შელახვა. ხელშეკრულების სტანდარტული პირობების მომწესრიგებელი დებულებები გადმოტანილია საქართველოს სამოქალაქო კოდექსიდან, თუმცა უფრო ფართოდ არის მოწესრიგებული ევროკავშირის დირექტივებზე დაყრდნობით. </w:t>
      </w:r>
    </w:p>
    <w:p w14:paraId="54E6F787" w14:textId="05D80CE3" w:rsidR="00096041" w:rsidRPr="000B7E09" w:rsidRDefault="00096041" w:rsidP="00096041">
      <w:pPr>
        <w:pStyle w:val="ListParagraph"/>
        <w:numPr>
          <w:ilvl w:val="0"/>
          <w:numId w:val="14"/>
        </w:numPr>
        <w:jc w:val="both"/>
        <w:rPr>
          <w:rFonts w:ascii="Sylfaen" w:hAnsi="Sylfaen"/>
          <w:b/>
          <w:bCs/>
          <w:szCs w:val="20"/>
          <w:lang w:val="en-US"/>
        </w:rPr>
      </w:pPr>
      <w:r w:rsidRPr="000B7E09">
        <w:rPr>
          <w:rFonts w:ascii="Sylfaen" w:hAnsi="Sylfaen"/>
          <w:b/>
          <w:bCs/>
          <w:szCs w:val="20"/>
          <w:lang w:val="ka-GE"/>
        </w:rPr>
        <w:t>პროდუქტის და მომსახურების შეძენისას ინფორმაციის მიწოდების ვალდებულება</w:t>
      </w:r>
    </w:p>
    <w:p w14:paraId="4C730F98" w14:textId="4974E1F2" w:rsidR="006F2E3E" w:rsidRPr="006F2E3E" w:rsidRDefault="006F2E3E" w:rsidP="006F2E3E">
      <w:pPr>
        <w:jc w:val="both"/>
        <w:rPr>
          <w:rFonts w:ascii="Sylfaen" w:hAnsi="Sylfaen"/>
          <w:szCs w:val="20"/>
          <w:lang w:val="en-US"/>
        </w:rPr>
      </w:pPr>
      <w:proofErr w:type="spellStart"/>
      <w:r w:rsidRPr="006F2E3E">
        <w:rPr>
          <w:rFonts w:ascii="Sylfaen" w:hAnsi="Sylfaen"/>
          <w:szCs w:val="20"/>
          <w:lang w:val="en-US"/>
        </w:rPr>
        <w:t>კანონის</w:t>
      </w:r>
      <w:proofErr w:type="spellEnd"/>
      <w:r>
        <w:rPr>
          <w:rFonts w:ascii="Sylfaen" w:hAnsi="Sylfaen"/>
          <w:szCs w:val="20"/>
          <w:lang w:val="ka-GE"/>
        </w:rPr>
        <w:t xml:space="preserve"> თანახმად</w:t>
      </w:r>
      <w:r w:rsidRPr="006F2E3E">
        <w:rPr>
          <w:rFonts w:ascii="Sylfaen" w:hAnsi="Sylfaen"/>
          <w:szCs w:val="20"/>
          <w:lang w:val="en-US"/>
        </w:rPr>
        <w:t xml:space="preserve"> </w:t>
      </w:r>
      <w:proofErr w:type="spellStart"/>
      <w:r w:rsidRPr="006F2E3E">
        <w:rPr>
          <w:rFonts w:ascii="Sylfaen" w:hAnsi="Sylfaen"/>
          <w:szCs w:val="20"/>
          <w:lang w:val="en-US"/>
        </w:rPr>
        <w:t>მომხმარებლისთვის</w:t>
      </w:r>
      <w:proofErr w:type="spellEnd"/>
      <w:r w:rsidRPr="006F2E3E">
        <w:rPr>
          <w:rFonts w:ascii="Sylfaen" w:hAnsi="Sylfaen"/>
          <w:szCs w:val="20"/>
          <w:lang w:val="en-US"/>
        </w:rPr>
        <w:t xml:space="preserve"> </w:t>
      </w:r>
      <w:proofErr w:type="spellStart"/>
      <w:r w:rsidRPr="006F2E3E">
        <w:rPr>
          <w:rFonts w:ascii="Sylfaen" w:hAnsi="Sylfaen"/>
          <w:szCs w:val="20"/>
          <w:lang w:val="en-US"/>
        </w:rPr>
        <w:t>პროდუქტის</w:t>
      </w:r>
      <w:proofErr w:type="spellEnd"/>
      <w:r w:rsidRPr="006F2E3E">
        <w:rPr>
          <w:rFonts w:ascii="Sylfaen" w:hAnsi="Sylfaen"/>
          <w:szCs w:val="20"/>
          <w:lang w:val="en-US"/>
        </w:rPr>
        <w:t xml:space="preserve"> </w:t>
      </w:r>
      <w:proofErr w:type="spellStart"/>
      <w:r w:rsidRPr="006F2E3E">
        <w:rPr>
          <w:rFonts w:ascii="Sylfaen" w:hAnsi="Sylfaen"/>
          <w:szCs w:val="20"/>
          <w:lang w:val="en-US"/>
        </w:rPr>
        <w:t>შესახებ</w:t>
      </w:r>
      <w:proofErr w:type="spellEnd"/>
      <w:r w:rsidRPr="006F2E3E">
        <w:rPr>
          <w:rFonts w:ascii="Sylfaen" w:hAnsi="Sylfaen"/>
          <w:szCs w:val="20"/>
          <w:lang w:val="en-US"/>
        </w:rPr>
        <w:t xml:space="preserve"> </w:t>
      </w:r>
      <w:proofErr w:type="spellStart"/>
      <w:r w:rsidRPr="006F2E3E">
        <w:rPr>
          <w:rFonts w:ascii="Sylfaen" w:hAnsi="Sylfaen"/>
          <w:szCs w:val="20"/>
          <w:lang w:val="en-US"/>
        </w:rPr>
        <w:t>ინფორმაციის</w:t>
      </w:r>
      <w:proofErr w:type="spellEnd"/>
      <w:r w:rsidRPr="006F2E3E">
        <w:rPr>
          <w:rFonts w:ascii="Sylfaen" w:hAnsi="Sylfaen"/>
          <w:szCs w:val="20"/>
          <w:lang w:val="en-US"/>
        </w:rPr>
        <w:t xml:space="preserve"> </w:t>
      </w:r>
      <w:proofErr w:type="spellStart"/>
      <w:r w:rsidRPr="006F2E3E">
        <w:rPr>
          <w:rFonts w:ascii="Sylfaen" w:hAnsi="Sylfaen"/>
          <w:szCs w:val="20"/>
          <w:lang w:val="en-US"/>
        </w:rPr>
        <w:t>მიწოდება</w:t>
      </w:r>
      <w:proofErr w:type="spellEnd"/>
      <w:r>
        <w:rPr>
          <w:rFonts w:ascii="Sylfaen" w:hAnsi="Sylfaen"/>
          <w:szCs w:val="20"/>
          <w:lang w:val="ka-GE"/>
        </w:rPr>
        <w:t xml:space="preserve"> წარმოადგენს ერთ-ერთ მნიშვნელოვან ვალდებულებას</w:t>
      </w:r>
      <w:r w:rsidR="0022389F">
        <w:rPr>
          <w:rFonts w:ascii="Sylfaen" w:hAnsi="Sylfaen"/>
          <w:szCs w:val="20"/>
          <w:lang w:val="ka-GE"/>
        </w:rPr>
        <w:t>.</w:t>
      </w:r>
      <w:r w:rsidRPr="006F2E3E">
        <w:rPr>
          <w:rFonts w:ascii="Sylfaen" w:hAnsi="Sylfaen"/>
          <w:szCs w:val="20"/>
          <w:lang w:val="en-US"/>
        </w:rPr>
        <w:t xml:space="preserve"> </w:t>
      </w:r>
      <w:proofErr w:type="spellStart"/>
      <w:r w:rsidRPr="006F2E3E">
        <w:rPr>
          <w:rFonts w:ascii="Sylfaen" w:hAnsi="Sylfaen"/>
          <w:szCs w:val="20"/>
          <w:lang w:val="en-US"/>
        </w:rPr>
        <w:t>მომხმარებელს</w:t>
      </w:r>
      <w:proofErr w:type="spellEnd"/>
      <w:r w:rsidRPr="006F2E3E">
        <w:rPr>
          <w:rFonts w:ascii="Sylfaen" w:hAnsi="Sylfaen"/>
          <w:szCs w:val="20"/>
          <w:lang w:val="en-US"/>
        </w:rPr>
        <w:t xml:space="preserve"> </w:t>
      </w:r>
      <w:proofErr w:type="spellStart"/>
      <w:r w:rsidRPr="006F2E3E">
        <w:rPr>
          <w:rFonts w:ascii="Sylfaen" w:hAnsi="Sylfaen"/>
          <w:szCs w:val="20"/>
          <w:lang w:val="en-US"/>
        </w:rPr>
        <w:t>უფლება</w:t>
      </w:r>
      <w:proofErr w:type="spellEnd"/>
      <w:r w:rsidRPr="006F2E3E">
        <w:rPr>
          <w:rFonts w:ascii="Sylfaen" w:hAnsi="Sylfaen"/>
          <w:szCs w:val="20"/>
          <w:lang w:val="en-US"/>
        </w:rPr>
        <w:t xml:space="preserve"> </w:t>
      </w:r>
      <w:proofErr w:type="spellStart"/>
      <w:r w:rsidRPr="006F2E3E">
        <w:rPr>
          <w:rFonts w:ascii="Sylfaen" w:hAnsi="Sylfaen"/>
          <w:szCs w:val="20"/>
          <w:lang w:val="en-US"/>
        </w:rPr>
        <w:t>აქვს</w:t>
      </w:r>
      <w:proofErr w:type="spellEnd"/>
      <w:r w:rsidRPr="006F2E3E">
        <w:rPr>
          <w:rFonts w:ascii="Sylfaen" w:hAnsi="Sylfaen"/>
          <w:szCs w:val="20"/>
          <w:lang w:val="en-US"/>
        </w:rPr>
        <w:t xml:space="preserve"> </w:t>
      </w:r>
      <w:proofErr w:type="spellStart"/>
      <w:r w:rsidRPr="006F2E3E">
        <w:rPr>
          <w:rFonts w:ascii="Sylfaen" w:hAnsi="Sylfaen"/>
          <w:szCs w:val="20"/>
          <w:lang w:val="en-US"/>
        </w:rPr>
        <w:t>მიიღოს</w:t>
      </w:r>
      <w:proofErr w:type="spellEnd"/>
      <w:r w:rsidRPr="006F2E3E">
        <w:rPr>
          <w:rFonts w:ascii="Sylfaen" w:hAnsi="Sylfaen"/>
          <w:szCs w:val="20"/>
          <w:lang w:val="en-US"/>
        </w:rPr>
        <w:t xml:space="preserve">, </w:t>
      </w:r>
      <w:proofErr w:type="spellStart"/>
      <w:r w:rsidRPr="006F2E3E">
        <w:rPr>
          <w:rFonts w:ascii="Sylfaen" w:hAnsi="Sylfaen"/>
          <w:szCs w:val="20"/>
          <w:lang w:val="en-US"/>
        </w:rPr>
        <w:t>ხოლო</w:t>
      </w:r>
      <w:proofErr w:type="spellEnd"/>
      <w:r w:rsidRPr="006F2E3E">
        <w:rPr>
          <w:rFonts w:ascii="Sylfaen" w:hAnsi="Sylfaen"/>
          <w:szCs w:val="20"/>
          <w:lang w:val="en-US"/>
        </w:rPr>
        <w:t xml:space="preserve"> </w:t>
      </w:r>
      <w:proofErr w:type="spellStart"/>
      <w:r w:rsidRPr="006F2E3E">
        <w:rPr>
          <w:rFonts w:ascii="Sylfaen" w:hAnsi="Sylfaen"/>
          <w:szCs w:val="20"/>
          <w:lang w:val="en-US"/>
        </w:rPr>
        <w:t>მოვაჭრე</w:t>
      </w:r>
      <w:proofErr w:type="spellEnd"/>
      <w:r w:rsidRPr="006F2E3E">
        <w:rPr>
          <w:rFonts w:ascii="Sylfaen" w:hAnsi="Sylfaen"/>
          <w:szCs w:val="20"/>
          <w:lang w:val="en-US"/>
        </w:rPr>
        <w:t xml:space="preserve"> </w:t>
      </w:r>
      <w:proofErr w:type="spellStart"/>
      <w:r w:rsidRPr="006F2E3E">
        <w:rPr>
          <w:rFonts w:ascii="Sylfaen" w:hAnsi="Sylfaen"/>
          <w:szCs w:val="20"/>
          <w:lang w:val="en-US"/>
        </w:rPr>
        <w:t>ვალდებულია</w:t>
      </w:r>
      <w:proofErr w:type="spellEnd"/>
      <w:r w:rsidRPr="006F2E3E">
        <w:rPr>
          <w:rFonts w:ascii="Sylfaen" w:hAnsi="Sylfaen"/>
          <w:szCs w:val="20"/>
          <w:lang w:val="en-US"/>
        </w:rPr>
        <w:t xml:space="preserve"> </w:t>
      </w:r>
      <w:proofErr w:type="spellStart"/>
      <w:r w:rsidRPr="006F2E3E">
        <w:rPr>
          <w:rFonts w:ascii="Sylfaen" w:hAnsi="Sylfaen"/>
          <w:szCs w:val="20"/>
          <w:lang w:val="en-US"/>
        </w:rPr>
        <w:t>გასცეს</w:t>
      </w:r>
      <w:proofErr w:type="spellEnd"/>
      <w:r w:rsidR="0022389F">
        <w:rPr>
          <w:rFonts w:ascii="Sylfaen" w:hAnsi="Sylfaen"/>
          <w:szCs w:val="20"/>
          <w:lang w:val="ka-GE"/>
        </w:rPr>
        <w:t xml:space="preserve"> </w:t>
      </w:r>
      <w:proofErr w:type="spellStart"/>
      <w:r w:rsidRPr="006F2E3E">
        <w:rPr>
          <w:rFonts w:ascii="Sylfaen" w:hAnsi="Sylfaen"/>
          <w:szCs w:val="20"/>
          <w:lang w:val="en-US"/>
        </w:rPr>
        <w:t>ინფორმაცია</w:t>
      </w:r>
      <w:proofErr w:type="spellEnd"/>
      <w:r w:rsidRPr="006F2E3E">
        <w:rPr>
          <w:rFonts w:ascii="Sylfaen" w:hAnsi="Sylfaen"/>
          <w:szCs w:val="20"/>
          <w:lang w:val="en-US"/>
        </w:rPr>
        <w:t xml:space="preserve"> </w:t>
      </w:r>
      <w:proofErr w:type="spellStart"/>
      <w:r w:rsidRPr="006F2E3E">
        <w:rPr>
          <w:rFonts w:ascii="Sylfaen" w:hAnsi="Sylfaen"/>
          <w:szCs w:val="20"/>
          <w:lang w:val="en-US"/>
        </w:rPr>
        <w:t>პროდუქტის</w:t>
      </w:r>
      <w:proofErr w:type="spellEnd"/>
      <w:r w:rsidRPr="006F2E3E">
        <w:rPr>
          <w:rFonts w:ascii="Sylfaen" w:hAnsi="Sylfaen"/>
          <w:szCs w:val="20"/>
          <w:lang w:val="en-US"/>
        </w:rPr>
        <w:t xml:space="preserve"> </w:t>
      </w:r>
      <w:proofErr w:type="spellStart"/>
      <w:r w:rsidRPr="006F2E3E">
        <w:rPr>
          <w:rFonts w:ascii="Sylfaen" w:hAnsi="Sylfaen"/>
          <w:szCs w:val="20"/>
          <w:lang w:val="en-US"/>
        </w:rPr>
        <w:t>დასახელების</w:t>
      </w:r>
      <w:proofErr w:type="spellEnd"/>
      <w:r w:rsidRPr="006F2E3E">
        <w:rPr>
          <w:rFonts w:ascii="Sylfaen" w:hAnsi="Sylfaen"/>
          <w:szCs w:val="20"/>
          <w:lang w:val="en-US"/>
        </w:rPr>
        <w:t xml:space="preserve">, </w:t>
      </w:r>
      <w:proofErr w:type="spellStart"/>
      <w:r w:rsidRPr="006F2E3E">
        <w:rPr>
          <w:rFonts w:ascii="Sylfaen" w:hAnsi="Sylfaen"/>
          <w:szCs w:val="20"/>
          <w:lang w:val="en-US"/>
        </w:rPr>
        <w:t>მოვაჭრის</w:t>
      </w:r>
      <w:proofErr w:type="spellEnd"/>
      <w:r w:rsidRPr="006F2E3E">
        <w:rPr>
          <w:rFonts w:ascii="Sylfaen" w:hAnsi="Sylfaen"/>
          <w:szCs w:val="20"/>
          <w:lang w:val="en-US"/>
        </w:rPr>
        <w:t xml:space="preserve"> </w:t>
      </w:r>
      <w:proofErr w:type="spellStart"/>
      <w:r w:rsidRPr="006F2E3E">
        <w:rPr>
          <w:rFonts w:ascii="Sylfaen" w:hAnsi="Sylfaen"/>
          <w:szCs w:val="20"/>
          <w:lang w:val="en-US"/>
        </w:rPr>
        <w:t>ვინაობის</w:t>
      </w:r>
      <w:proofErr w:type="spellEnd"/>
      <w:r w:rsidRPr="006F2E3E">
        <w:rPr>
          <w:rFonts w:ascii="Sylfaen" w:hAnsi="Sylfaen"/>
          <w:szCs w:val="20"/>
          <w:lang w:val="en-US"/>
        </w:rPr>
        <w:t xml:space="preserve">, </w:t>
      </w:r>
      <w:proofErr w:type="spellStart"/>
      <w:r w:rsidRPr="006F2E3E">
        <w:rPr>
          <w:rFonts w:ascii="Sylfaen" w:hAnsi="Sylfaen"/>
          <w:szCs w:val="20"/>
          <w:lang w:val="en-US"/>
        </w:rPr>
        <w:t>პრეტენზიის</w:t>
      </w:r>
      <w:proofErr w:type="spellEnd"/>
      <w:r w:rsidRPr="006F2E3E">
        <w:rPr>
          <w:rFonts w:ascii="Sylfaen" w:hAnsi="Sylfaen"/>
          <w:szCs w:val="20"/>
          <w:lang w:val="en-US"/>
        </w:rPr>
        <w:t xml:space="preserve"> </w:t>
      </w:r>
      <w:proofErr w:type="spellStart"/>
      <w:r w:rsidRPr="006F2E3E">
        <w:rPr>
          <w:rFonts w:ascii="Sylfaen" w:hAnsi="Sylfaen"/>
          <w:szCs w:val="20"/>
          <w:lang w:val="en-US"/>
        </w:rPr>
        <w:t>განხილვის</w:t>
      </w:r>
      <w:proofErr w:type="spellEnd"/>
      <w:r w:rsidR="0022389F">
        <w:rPr>
          <w:rFonts w:ascii="Sylfaen" w:hAnsi="Sylfaen"/>
          <w:szCs w:val="20"/>
          <w:lang w:val="ka-GE"/>
        </w:rPr>
        <w:t xml:space="preserve"> </w:t>
      </w:r>
      <w:proofErr w:type="spellStart"/>
      <w:r w:rsidRPr="006F2E3E">
        <w:rPr>
          <w:rFonts w:ascii="Sylfaen" w:hAnsi="Sylfaen"/>
          <w:szCs w:val="20"/>
          <w:lang w:val="en-US"/>
        </w:rPr>
        <w:t>პირობების</w:t>
      </w:r>
      <w:proofErr w:type="spellEnd"/>
      <w:r w:rsidRPr="006F2E3E">
        <w:rPr>
          <w:rFonts w:ascii="Sylfaen" w:hAnsi="Sylfaen"/>
          <w:szCs w:val="20"/>
          <w:lang w:val="en-US"/>
        </w:rPr>
        <w:t xml:space="preserve">, </w:t>
      </w:r>
      <w:proofErr w:type="spellStart"/>
      <w:r w:rsidRPr="006F2E3E">
        <w:rPr>
          <w:rFonts w:ascii="Sylfaen" w:hAnsi="Sylfaen"/>
          <w:szCs w:val="20"/>
          <w:lang w:val="en-US"/>
        </w:rPr>
        <w:t>პროდუქტის</w:t>
      </w:r>
      <w:proofErr w:type="spellEnd"/>
      <w:r w:rsidRPr="006F2E3E">
        <w:rPr>
          <w:rFonts w:ascii="Sylfaen" w:hAnsi="Sylfaen"/>
          <w:szCs w:val="20"/>
          <w:lang w:val="en-US"/>
        </w:rPr>
        <w:t xml:space="preserve"> </w:t>
      </w:r>
      <w:proofErr w:type="spellStart"/>
      <w:r w:rsidRPr="006F2E3E">
        <w:rPr>
          <w:rFonts w:ascii="Sylfaen" w:hAnsi="Sylfaen"/>
          <w:szCs w:val="20"/>
          <w:lang w:val="en-US"/>
        </w:rPr>
        <w:t>დამზადების</w:t>
      </w:r>
      <w:proofErr w:type="spellEnd"/>
      <w:r w:rsidRPr="006F2E3E">
        <w:rPr>
          <w:rFonts w:ascii="Sylfaen" w:hAnsi="Sylfaen"/>
          <w:szCs w:val="20"/>
          <w:lang w:val="en-US"/>
        </w:rPr>
        <w:t xml:space="preserve"> </w:t>
      </w:r>
      <w:proofErr w:type="spellStart"/>
      <w:r w:rsidRPr="006F2E3E">
        <w:rPr>
          <w:rFonts w:ascii="Sylfaen" w:hAnsi="Sylfaen"/>
          <w:szCs w:val="20"/>
          <w:lang w:val="en-US"/>
        </w:rPr>
        <w:t>თარიღის</w:t>
      </w:r>
      <w:proofErr w:type="spellEnd"/>
      <w:r w:rsidRPr="006F2E3E">
        <w:rPr>
          <w:rFonts w:ascii="Sylfaen" w:hAnsi="Sylfaen"/>
          <w:szCs w:val="20"/>
          <w:lang w:val="en-US"/>
        </w:rPr>
        <w:t xml:space="preserve">, </w:t>
      </w:r>
      <w:proofErr w:type="spellStart"/>
      <w:r w:rsidRPr="006F2E3E">
        <w:rPr>
          <w:rFonts w:ascii="Sylfaen" w:hAnsi="Sylfaen"/>
          <w:szCs w:val="20"/>
          <w:lang w:val="en-US"/>
        </w:rPr>
        <w:t>ვარგისიანობის</w:t>
      </w:r>
      <w:proofErr w:type="spellEnd"/>
      <w:r w:rsidRPr="006F2E3E">
        <w:rPr>
          <w:rFonts w:ascii="Sylfaen" w:hAnsi="Sylfaen"/>
          <w:szCs w:val="20"/>
          <w:lang w:val="en-US"/>
        </w:rPr>
        <w:t xml:space="preserve">, </w:t>
      </w:r>
      <w:proofErr w:type="spellStart"/>
      <w:r w:rsidRPr="006F2E3E">
        <w:rPr>
          <w:rFonts w:ascii="Sylfaen" w:hAnsi="Sylfaen"/>
          <w:szCs w:val="20"/>
          <w:lang w:val="en-US"/>
        </w:rPr>
        <w:t>პროდუქტის</w:t>
      </w:r>
      <w:proofErr w:type="spellEnd"/>
      <w:r w:rsidRPr="006F2E3E">
        <w:rPr>
          <w:rFonts w:ascii="Sylfaen" w:hAnsi="Sylfaen"/>
          <w:szCs w:val="20"/>
          <w:lang w:val="en-US"/>
        </w:rPr>
        <w:t xml:space="preserve"> </w:t>
      </w:r>
      <w:proofErr w:type="spellStart"/>
      <w:r w:rsidRPr="006F2E3E">
        <w:rPr>
          <w:rFonts w:ascii="Sylfaen" w:hAnsi="Sylfaen"/>
          <w:szCs w:val="20"/>
          <w:lang w:val="en-US"/>
        </w:rPr>
        <w:t>სრული</w:t>
      </w:r>
      <w:proofErr w:type="spellEnd"/>
      <w:r w:rsidR="0022389F">
        <w:rPr>
          <w:rFonts w:ascii="Sylfaen" w:hAnsi="Sylfaen"/>
          <w:szCs w:val="20"/>
          <w:lang w:val="ka-GE"/>
        </w:rPr>
        <w:t xml:space="preserve"> </w:t>
      </w:r>
      <w:proofErr w:type="spellStart"/>
      <w:r w:rsidRPr="006F2E3E">
        <w:rPr>
          <w:rFonts w:ascii="Sylfaen" w:hAnsi="Sylfaen"/>
          <w:szCs w:val="20"/>
          <w:lang w:val="en-US"/>
        </w:rPr>
        <w:t>ფასის</w:t>
      </w:r>
      <w:proofErr w:type="spellEnd"/>
      <w:r w:rsidRPr="006F2E3E">
        <w:rPr>
          <w:rFonts w:ascii="Sylfaen" w:hAnsi="Sylfaen"/>
          <w:szCs w:val="20"/>
          <w:lang w:val="en-US"/>
        </w:rPr>
        <w:t xml:space="preserve">, </w:t>
      </w:r>
      <w:proofErr w:type="spellStart"/>
      <w:r w:rsidRPr="006F2E3E">
        <w:rPr>
          <w:rFonts w:ascii="Sylfaen" w:hAnsi="Sylfaen"/>
          <w:szCs w:val="20"/>
          <w:lang w:val="en-US"/>
        </w:rPr>
        <w:t>გადახდის</w:t>
      </w:r>
      <w:proofErr w:type="spellEnd"/>
      <w:r w:rsidRPr="006F2E3E">
        <w:rPr>
          <w:rFonts w:ascii="Sylfaen" w:hAnsi="Sylfaen"/>
          <w:szCs w:val="20"/>
          <w:lang w:val="en-US"/>
        </w:rPr>
        <w:t xml:space="preserve">, </w:t>
      </w:r>
      <w:proofErr w:type="spellStart"/>
      <w:r w:rsidRPr="006F2E3E">
        <w:rPr>
          <w:rFonts w:ascii="Sylfaen" w:hAnsi="Sylfaen"/>
          <w:szCs w:val="20"/>
          <w:lang w:val="en-US"/>
        </w:rPr>
        <w:t>მიწოდებისა</w:t>
      </w:r>
      <w:proofErr w:type="spellEnd"/>
      <w:r w:rsidRPr="006F2E3E">
        <w:rPr>
          <w:rFonts w:ascii="Sylfaen" w:hAnsi="Sylfaen"/>
          <w:szCs w:val="20"/>
          <w:lang w:val="en-US"/>
        </w:rPr>
        <w:t xml:space="preserve"> და </w:t>
      </w:r>
      <w:proofErr w:type="spellStart"/>
      <w:r w:rsidRPr="006F2E3E">
        <w:rPr>
          <w:rFonts w:ascii="Sylfaen" w:hAnsi="Sylfaen"/>
          <w:szCs w:val="20"/>
          <w:lang w:val="en-US"/>
        </w:rPr>
        <w:t>საგარანტიო</w:t>
      </w:r>
      <w:proofErr w:type="spellEnd"/>
      <w:r w:rsidRPr="006F2E3E">
        <w:rPr>
          <w:rFonts w:ascii="Sylfaen" w:hAnsi="Sylfaen"/>
          <w:szCs w:val="20"/>
          <w:lang w:val="en-US"/>
        </w:rPr>
        <w:t xml:space="preserve"> </w:t>
      </w:r>
      <w:proofErr w:type="spellStart"/>
      <w:r w:rsidRPr="006F2E3E">
        <w:rPr>
          <w:rFonts w:ascii="Sylfaen" w:hAnsi="Sylfaen"/>
          <w:szCs w:val="20"/>
          <w:lang w:val="en-US"/>
        </w:rPr>
        <w:t>პირობების</w:t>
      </w:r>
      <w:proofErr w:type="spellEnd"/>
      <w:r w:rsidRPr="006F2E3E">
        <w:rPr>
          <w:rFonts w:ascii="Sylfaen" w:hAnsi="Sylfaen"/>
          <w:szCs w:val="20"/>
          <w:lang w:val="en-US"/>
        </w:rPr>
        <w:t xml:space="preserve">, </w:t>
      </w:r>
      <w:proofErr w:type="spellStart"/>
      <w:r w:rsidRPr="006F2E3E">
        <w:rPr>
          <w:rFonts w:ascii="Sylfaen" w:hAnsi="Sylfaen"/>
          <w:szCs w:val="20"/>
          <w:lang w:val="en-US"/>
        </w:rPr>
        <w:t>პროდუქტის</w:t>
      </w:r>
      <w:proofErr w:type="spellEnd"/>
      <w:r w:rsidRPr="006F2E3E">
        <w:rPr>
          <w:rFonts w:ascii="Sylfaen" w:hAnsi="Sylfaen"/>
          <w:szCs w:val="20"/>
          <w:lang w:val="en-US"/>
        </w:rPr>
        <w:t xml:space="preserve"> </w:t>
      </w:r>
      <w:proofErr w:type="spellStart"/>
      <w:r w:rsidRPr="006F2E3E">
        <w:rPr>
          <w:rFonts w:ascii="Sylfaen" w:hAnsi="Sylfaen"/>
          <w:szCs w:val="20"/>
          <w:lang w:val="en-US"/>
        </w:rPr>
        <w:t>გამოყენების</w:t>
      </w:r>
      <w:proofErr w:type="spellEnd"/>
      <w:r w:rsidR="0022389F">
        <w:rPr>
          <w:rFonts w:ascii="Sylfaen" w:hAnsi="Sylfaen"/>
          <w:szCs w:val="20"/>
          <w:lang w:val="ka-GE"/>
        </w:rPr>
        <w:t xml:space="preserve"> </w:t>
      </w:r>
      <w:proofErr w:type="spellStart"/>
      <w:r w:rsidRPr="006F2E3E">
        <w:rPr>
          <w:rFonts w:ascii="Sylfaen" w:hAnsi="Sylfaen"/>
          <w:szCs w:val="20"/>
          <w:lang w:val="en-US"/>
        </w:rPr>
        <w:t>წესების</w:t>
      </w:r>
      <w:proofErr w:type="spellEnd"/>
      <w:r w:rsidRPr="006F2E3E">
        <w:rPr>
          <w:rFonts w:ascii="Sylfaen" w:hAnsi="Sylfaen"/>
          <w:szCs w:val="20"/>
          <w:lang w:val="en-US"/>
        </w:rPr>
        <w:t xml:space="preserve">, </w:t>
      </w:r>
      <w:proofErr w:type="spellStart"/>
      <w:r w:rsidRPr="006F2E3E">
        <w:rPr>
          <w:rFonts w:ascii="Sylfaen" w:hAnsi="Sylfaen"/>
          <w:szCs w:val="20"/>
          <w:lang w:val="en-US"/>
        </w:rPr>
        <w:t>ხელშეკრულების</w:t>
      </w:r>
      <w:proofErr w:type="spellEnd"/>
      <w:r w:rsidRPr="006F2E3E">
        <w:rPr>
          <w:rFonts w:ascii="Sylfaen" w:hAnsi="Sylfaen"/>
          <w:szCs w:val="20"/>
          <w:lang w:val="en-US"/>
        </w:rPr>
        <w:t xml:space="preserve"> </w:t>
      </w:r>
      <w:proofErr w:type="spellStart"/>
      <w:r w:rsidRPr="006F2E3E">
        <w:rPr>
          <w:rFonts w:ascii="Sylfaen" w:hAnsi="Sylfaen"/>
          <w:szCs w:val="20"/>
          <w:lang w:val="en-US"/>
        </w:rPr>
        <w:t>ვადის</w:t>
      </w:r>
      <w:proofErr w:type="spellEnd"/>
      <w:r w:rsidRPr="006F2E3E">
        <w:rPr>
          <w:rFonts w:ascii="Sylfaen" w:hAnsi="Sylfaen"/>
          <w:szCs w:val="20"/>
          <w:lang w:val="en-US"/>
        </w:rPr>
        <w:t xml:space="preserve">, </w:t>
      </w:r>
      <w:proofErr w:type="spellStart"/>
      <w:r w:rsidRPr="006F2E3E">
        <w:rPr>
          <w:rFonts w:ascii="Sylfaen" w:hAnsi="Sylfaen"/>
          <w:szCs w:val="20"/>
          <w:lang w:val="en-US"/>
        </w:rPr>
        <w:t>ციფრული</w:t>
      </w:r>
      <w:proofErr w:type="spellEnd"/>
      <w:r w:rsidRPr="006F2E3E">
        <w:rPr>
          <w:rFonts w:ascii="Sylfaen" w:hAnsi="Sylfaen"/>
          <w:szCs w:val="20"/>
          <w:lang w:val="en-US"/>
        </w:rPr>
        <w:t xml:space="preserve"> </w:t>
      </w:r>
      <w:proofErr w:type="spellStart"/>
      <w:r w:rsidRPr="006F2E3E">
        <w:rPr>
          <w:rFonts w:ascii="Sylfaen" w:hAnsi="Sylfaen"/>
          <w:szCs w:val="20"/>
          <w:lang w:val="en-US"/>
        </w:rPr>
        <w:t>შინაარსის</w:t>
      </w:r>
      <w:proofErr w:type="spellEnd"/>
      <w:r w:rsidRPr="006F2E3E">
        <w:rPr>
          <w:rFonts w:ascii="Sylfaen" w:hAnsi="Sylfaen"/>
          <w:szCs w:val="20"/>
          <w:lang w:val="en-US"/>
        </w:rPr>
        <w:t xml:space="preserve"> </w:t>
      </w:r>
      <w:proofErr w:type="spellStart"/>
      <w:r w:rsidRPr="006F2E3E">
        <w:rPr>
          <w:rFonts w:ascii="Sylfaen" w:hAnsi="Sylfaen"/>
          <w:szCs w:val="20"/>
          <w:lang w:val="en-US"/>
        </w:rPr>
        <w:t>ფუნქციური</w:t>
      </w:r>
      <w:proofErr w:type="spellEnd"/>
      <w:r w:rsidR="0022389F">
        <w:rPr>
          <w:rFonts w:ascii="Sylfaen" w:hAnsi="Sylfaen"/>
          <w:szCs w:val="20"/>
          <w:lang w:val="ka-GE"/>
        </w:rPr>
        <w:t xml:space="preserve"> </w:t>
      </w:r>
      <w:proofErr w:type="spellStart"/>
      <w:r w:rsidRPr="006F2E3E">
        <w:rPr>
          <w:rFonts w:ascii="Sylfaen" w:hAnsi="Sylfaen"/>
          <w:szCs w:val="20"/>
          <w:lang w:val="en-US"/>
        </w:rPr>
        <w:t>მახასიათებლებისა</w:t>
      </w:r>
      <w:proofErr w:type="spellEnd"/>
      <w:r w:rsidRPr="006F2E3E">
        <w:rPr>
          <w:rFonts w:ascii="Sylfaen" w:hAnsi="Sylfaen"/>
          <w:szCs w:val="20"/>
          <w:lang w:val="en-US"/>
        </w:rPr>
        <w:t xml:space="preserve"> და </w:t>
      </w:r>
      <w:proofErr w:type="spellStart"/>
      <w:r w:rsidRPr="006F2E3E">
        <w:rPr>
          <w:rFonts w:ascii="Sylfaen" w:hAnsi="Sylfaen"/>
          <w:szCs w:val="20"/>
          <w:lang w:val="en-US"/>
        </w:rPr>
        <w:t>მისი</w:t>
      </w:r>
      <w:proofErr w:type="spellEnd"/>
      <w:r w:rsidRPr="006F2E3E">
        <w:rPr>
          <w:rFonts w:ascii="Sylfaen" w:hAnsi="Sylfaen"/>
          <w:szCs w:val="20"/>
          <w:lang w:val="en-US"/>
        </w:rPr>
        <w:t xml:space="preserve"> </w:t>
      </w:r>
      <w:proofErr w:type="spellStart"/>
      <w:r w:rsidRPr="006F2E3E">
        <w:rPr>
          <w:rFonts w:ascii="Sylfaen" w:hAnsi="Sylfaen"/>
          <w:szCs w:val="20"/>
          <w:lang w:val="en-US"/>
        </w:rPr>
        <w:t>დაცვის</w:t>
      </w:r>
      <w:proofErr w:type="spellEnd"/>
      <w:r w:rsidRPr="006F2E3E">
        <w:rPr>
          <w:rFonts w:ascii="Sylfaen" w:hAnsi="Sylfaen"/>
          <w:szCs w:val="20"/>
          <w:lang w:val="en-US"/>
        </w:rPr>
        <w:t xml:space="preserve">, </w:t>
      </w:r>
      <w:proofErr w:type="spellStart"/>
      <w:r w:rsidRPr="006F2E3E">
        <w:rPr>
          <w:rFonts w:ascii="Sylfaen" w:hAnsi="Sylfaen"/>
          <w:szCs w:val="20"/>
          <w:lang w:val="en-US"/>
        </w:rPr>
        <w:t>ტექნიკური</w:t>
      </w:r>
      <w:proofErr w:type="spellEnd"/>
      <w:r w:rsidRPr="006F2E3E">
        <w:rPr>
          <w:rFonts w:ascii="Sylfaen" w:hAnsi="Sylfaen"/>
          <w:szCs w:val="20"/>
          <w:lang w:val="en-US"/>
        </w:rPr>
        <w:t xml:space="preserve"> </w:t>
      </w:r>
      <w:proofErr w:type="spellStart"/>
      <w:r w:rsidRPr="006F2E3E">
        <w:rPr>
          <w:rFonts w:ascii="Sylfaen" w:hAnsi="Sylfaen"/>
          <w:szCs w:val="20"/>
          <w:lang w:val="en-US"/>
        </w:rPr>
        <w:t>პასპორტისა</w:t>
      </w:r>
      <w:proofErr w:type="spellEnd"/>
      <w:r w:rsidRPr="006F2E3E">
        <w:rPr>
          <w:rFonts w:ascii="Sylfaen" w:hAnsi="Sylfaen"/>
          <w:szCs w:val="20"/>
          <w:lang w:val="en-US"/>
        </w:rPr>
        <w:t xml:space="preserve"> და </w:t>
      </w:r>
      <w:proofErr w:type="spellStart"/>
      <w:r w:rsidRPr="006F2E3E">
        <w:rPr>
          <w:rFonts w:ascii="Sylfaen" w:hAnsi="Sylfaen"/>
          <w:szCs w:val="20"/>
          <w:lang w:val="en-US"/>
        </w:rPr>
        <w:t>შესაბამისობის</w:t>
      </w:r>
      <w:proofErr w:type="spellEnd"/>
      <w:r w:rsidR="0022389F">
        <w:rPr>
          <w:rFonts w:ascii="Sylfaen" w:hAnsi="Sylfaen"/>
          <w:szCs w:val="20"/>
          <w:lang w:val="ka-GE"/>
        </w:rPr>
        <w:t xml:space="preserve"> </w:t>
      </w:r>
      <w:proofErr w:type="spellStart"/>
      <w:r w:rsidRPr="006F2E3E">
        <w:rPr>
          <w:rFonts w:ascii="Sylfaen" w:hAnsi="Sylfaen"/>
          <w:szCs w:val="20"/>
          <w:lang w:val="en-US"/>
        </w:rPr>
        <w:t>დამადასტურებელი</w:t>
      </w:r>
      <w:proofErr w:type="spellEnd"/>
      <w:r w:rsidRPr="006F2E3E">
        <w:rPr>
          <w:rFonts w:ascii="Sylfaen" w:hAnsi="Sylfaen"/>
          <w:szCs w:val="20"/>
          <w:lang w:val="en-US"/>
        </w:rPr>
        <w:t xml:space="preserve"> </w:t>
      </w:r>
      <w:proofErr w:type="spellStart"/>
      <w:r w:rsidRPr="006F2E3E">
        <w:rPr>
          <w:rFonts w:ascii="Sylfaen" w:hAnsi="Sylfaen"/>
          <w:szCs w:val="20"/>
          <w:lang w:val="en-US"/>
        </w:rPr>
        <w:t>დოკუმენტის</w:t>
      </w:r>
      <w:proofErr w:type="spellEnd"/>
      <w:r w:rsidRPr="006F2E3E">
        <w:rPr>
          <w:rFonts w:ascii="Sylfaen" w:hAnsi="Sylfaen"/>
          <w:szCs w:val="20"/>
          <w:lang w:val="en-US"/>
        </w:rPr>
        <w:t xml:space="preserve"> </w:t>
      </w:r>
      <w:proofErr w:type="spellStart"/>
      <w:r w:rsidRPr="006F2E3E">
        <w:rPr>
          <w:rFonts w:ascii="Sylfaen" w:hAnsi="Sylfaen"/>
          <w:szCs w:val="20"/>
          <w:lang w:val="en-US"/>
        </w:rPr>
        <w:t>შესახებ</w:t>
      </w:r>
      <w:proofErr w:type="spellEnd"/>
      <w:r w:rsidRPr="006F2E3E">
        <w:rPr>
          <w:rFonts w:ascii="Sylfaen" w:hAnsi="Sylfaen"/>
          <w:szCs w:val="20"/>
          <w:lang w:val="en-US"/>
        </w:rPr>
        <w:t xml:space="preserve">. </w:t>
      </w:r>
      <w:r w:rsidR="0022389F">
        <w:rPr>
          <w:rFonts w:ascii="Sylfaen" w:hAnsi="Sylfaen"/>
          <w:szCs w:val="20"/>
          <w:lang w:val="ka-GE"/>
        </w:rPr>
        <w:t>ი</w:t>
      </w:r>
      <w:proofErr w:type="spellStart"/>
      <w:r w:rsidRPr="006F2E3E">
        <w:rPr>
          <w:rFonts w:ascii="Sylfaen" w:hAnsi="Sylfaen"/>
          <w:szCs w:val="20"/>
          <w:lang w:val="en-US"/>
        </w:rPr>
        <w:t>ნფორმაციის</w:t>
      </w:r>
      <w:proofErr w:type="spellEnd"/>
      <w:r w:rsidRPr="006F2E3E">
        <w:rPr>
          <w:rFonts w:ascii="Sylfaen" w:hAnsi="Sylfaen"/>
          <w:szCs w:val="20"/>
          <w:lang w:val="en-US"/>
        </w:rPr>
        <w:t xml:space="preserve"> </w:t>
      </w:r>
      <w:proofErr w:type="spellStart"/>
      <w:r w:rsidRPr="006F2E3E">
        <w:rPr>
          <w:rFonts w:ascii="Sylfaen" w:hAnsi="Sylfaen"/>
          <w:szCs w:val="20"/>
          <w:lang w:val="en-US"/>
        </w:rPr>
        <w:t>გაცემის</w:t>
      </w:r>
      <w:proofErr w:type="spellEnd"/>
      <w:r w:rsidRPr="006F2E3E">
        <w:rPr>
          <w:rFonts w:ascii="Sylfaen" w:hAnsi="Sylfaen"/>
          <w:szCs w:val="20"/>
          <w:lang w:val="en-US"/>
        </w:rPr>
        <w:t xml:space="preserve"> </w:t>
      </w:r>
      <w:proofErr w:type="spellStart"/>
      <w:r w:rsidRPr="006F2E3E">
        <w:rPr>
          <w:rFonts w:ascii="Sylfaen" w:hAnsi="Sylfaen"/>
          <w:szCs w:val="20"/>
          <w:lang w:val="en-US"/>
        </w:rPr>
        <w:t>მთავარი</w:t>
      </w:r>
      <w:proofErr w:type="spellEnd"/>
      <w:r w:rsidR="0022389F">
        <w:rPr>
          <w:rFonts w:ascii="Sylfaen" w:hAnsi="Sylfaen"/>
          <w:szCs w:val="20"/>
          <w:lang w:val="ka-GE"/>
        </w:rPr>
        <w:t xml:space="preserve"> </w:t>
      </w:r>
      <w:proofErr w:type="spellStart"/>
      <w:r w:rsidRPr="006F2E3E">
        <w:rPr>
          <w:rFonts w:ascii="Sylfaen" w:hAnsi="Sylfaen"/>
          <w:szCs w:val="20"/>
          <w:lang w:val="en-US"/>
        </w:rPr>
        <w:t>პრინციპია</w:t>
      </w:r>
      <w:proofErr w:type="spellEnd"/>
      <w:r w:rsidRPr="006F2E3E">
        <w:rPr>
          <w:rFonts w:ascii="Sylfaen" w:hAnsi="Sylfaen"/>
          <w:szCs w:val="20"/>
          <w:lang w:val="en-US"/>
        </w:rPr>
        <w:t xml:space="preserve">, </w:t>
      </w:r>
      <w:proofErr w:type="spellStart"/>
      <w:r w:rsidRPr="006F2E3E">
        <w:rPr>
          <w:rFonts w:ascii="Sylfaen" w:hAnsi="Sylfaen"/>
          <w:szCs w:val="20"/>
          <w:lang w:val="en-US"/>
        </w:rPr>
        <w:t>რომ</w:t>
      </w:r>
      <w:proofErr w:type="spellEnd"/>
      <w:r w:rsidRPr="006F2E3E">
        <w:rPr>
          <w:rFonts w:ascii="Sylfaen" w:hAnsi="Sylfaen"/>
          <w:szCs w:val="20"/>
          <w:lang w:val="en-US"/>
        </w:rPr>
        <w:t xml:space="preserve"> </w:t>
      </w:r>
      <w:proofErr w:type="spellStart"/>
      <w:r w:rsidRPr="006F2E3E">
        <w:rPr>
          <w:rFonts w:ascii="Sylfaen" w:hAnsi="Sylfaen"/>
          <w:szCs w:val="20"/>
          <w:lang w:val="en-US"/>
        </w:rPr>
        <w:t>იგი</w:t>
      </w:r>
      <w:proofErr w:type="spellEnd"/>
      <w:r w:rsidRPr="006F2E3E">
        <w:rPr>
          <w:rFonts w:ascii="Sylfaen" w:hAnsi="Sylfaen"/>
          <w:szCs w:val="20"/>
          <w:lang w:val="en-US"/>
        </w:rPr>
        <w:t xml:space="preserve"> </w:t>
      </w:r>
      <w:proofErr w:type="spellStart"/>
      <w:r w:rsidRPr="006F2E3E">
        <w:rPr>
          <w:rFonts w:ascii="Sylfaen" w:hAnsi="Sylfaen"/>
          <w:szCs w:val="20"/>
          <w:lang w:val="en-US"/>
        </w:rPr>
        <w:t>იყოს</w:t>
      </w:r>
      <w:proofErr w:type="spellEnd"/>
      <w:r w:rsidRPr="006F2E3E">
        <w:rPr>
          <w:rFonts w:ascii="Sylfaen" w:hAnsi="Sylfaen"/>
          <w:szCs w:val="20"/>
          <w:lang w:val="en-US"/>
        </w:rPr>
        <w:t xml:space="preserve"> </w:t>
      </w:r>
      <w:proofErr w:type="spellStart"/>
      <w:r w:rsidRPr="006F2E3E">
        <w:rPr>
          <w:rFonts w:ascii="Sylfaen" w:hAnsi="Sylfaen"/>
          <w:szCs w:val="20"/>
          <w:lang w:val="en-US"/>
        </w:rPr>
        <w:t>მკაფიო</w:t>
      </w:r>
      <w:proofErr w:type="spellEnd"/>
      <w:r w:rsidRPr="006F2E3E">
        <w:rPr>
          <w:rFonts w:ascii="Sylfaen" w:hAnsi="Sylfaen"/>
          <w:szCs w:val="20"/>
          <w:lang w:val="en-US"/>
        </w:rPr>
        <w:t xml:space="preserve"> და </w:t>
      </w:r>
      <w:proofErr w:type="spellStart"/>
      <w:r w:rsidRPr="006F2E3E">
        <w:rPr>
          <w:rFonts w:ascii="Sylfaen" w:hAnsi="Sylfaen"/>
          <w:szCs w:val="20"/>
          <w:lang w:val="en-US"/>
        </w:rPr>
        <w:t>გასაგები</w:t>
      </w:r>
      <w:proofErr w:type="spellEnd"/>
      <w:r w:rsidRPr="006F2E3E">
        <w:rPr>
          <w:rFonts w:ascii="Sylfaen" w:hAnsi="Sylfaen"/>
          <w:szCs w:val="20"/>
          <w:lang w:val="en-US"/>
        </w:rPr>
        <w:t>.</w:t>
      </w:r>
    </w:p>
    <w:p w14:paraId="7E394B24" w14:textId="4D0AB0AA" w:rsidR="00096041" w:rsidRPr="000B7E09" w:rsidRDefault="00096041" w:rsidP="00096041">
      <w:pPr>
        <w:pStyle w:val="ListParagraph"/>
        <w:numPr>
          <w:ilvl w:val="0"/>
          <w:numId w:val="14"/>
        </w:numPr>
        <w:jc w:val="both"/>
        <w:rPr>
          <w:rFonts w:ascii="Sylfaen" w:hAnsi="Sylfaen"/>
          <w:b/>
          <w:bCs/>
          <w:szCs w:val="20"/>
          <w:lang w:val="en-US"/>
        </w:rPr>
      </w:pPr>
      <w:r w:rsidRPr="000B7E09">
        <w:rPr>
          <w:rFonts w:ascii="Sylfaen" w:hAnsi="Sylfaen"/>
          <w:b/>
          <w:bCs/>
          <w:szCs w:val="20"/>
          <w:lang w:val="ka-GE"/>
        </w:rPr>
        <w:t>სარეწს გარეთ და დისტანციურად დადებული ხელშეკრულები</w:t>
      </w:r>
      <w:r w:rsidR="00B01A1D" w:rsidRPr="000B7E09">
        <w:rPr>
          <w:rFonts w:ascii="Sylfaen" w:hAnsi="Sylfaen"/>
          <w:b/>
          <w:bCs/>
          <w:szCs w:val="20"/>
          <w:lang w:val="ka-GE"/>
        </w:rPr>
        <w:t xml:space="preserve"> და </w:t>
      </w:r>
      <w:r w:rsidRPr="000B7E09">
        <w:rPr>
          <w:rFonts w:ascii="Sylfaen" w:hAnsi="Sylfaen"/>
          <w:b/>
          <w:bCs/>
          <w:szCs w:val="20"/>
          <w:lang w:val="ka-GE"/>
        </w:rPr>
        <w:t>ხელშეკრულებაზე უარის თქმა</w:t>
      </w:r>
    </w:p>
    <w:p w14:paraId="290481EA" w14:textId="14D3B4F1" w:rsidR="00076569" w:rsidRPr="00DC6C9E" w:rsidRDefault="00076569" w:rsidP="00076569">
      <w:pPr>
        <w:jc w:val="both"/>
        <w:rPr>
          <w:rFonts w:ascii="Sylfaen" w:hAnsi="Sylfaen"/>
          <w:szCs w:val="20"/>
          <w:lang w:val="en-US"/>
        </w:rPr>
      </w:pPr>
      <w:r>
        <w:rPr>
          <w:rFonts w:ascii="Sylfaen" w:hAnsi="Sylfaen"/>
          <w:szCs w:val="20"/>
          <w:lang w:val="ka-GE"/>
        </w:rPr>
        <w:t>მომხმარებლის უფლებების დაცვის შესახებ კანონი ცალკე არეგულირებს მეწარმის ჩვეულებრივი საქმიანობის ფარგლებს გარეთ და დისტანციურად დადებული ხელშეკრულებების საკითხს და აწესებს მომხმარებლის ინფორმირების დამატებით გარანტიებს.</w:t>
      </w:r>
      <w:r>
        <w:rPr>
          <w:rFonts w:ascii="Sylfaen" w:hAnsi="Sylfaen"/>
          <w:szCs w:val="20"/>
          <w:lang w:val="en-US"/>
        </w:rPr>
        <w:t xml:space="preserve"> </w:t>
      </w:r>
      <w:proofErr w:type="spellStart"/>
      <w:r w:rsidRPr="00076569">
        <w:rPr>
          <w:rFonts w:ascii="Sylfaen" w:hAnsi="Sylfaen"/>
          <w:szCs w:val="20"/>
          <w:lang w:val="en-US"/>
        </w:rPr>
        <w:t>ხელშეკრულების</w:t>
      </w:r>
      <w:proofErr w:type="spellEnd"/>
      <w:r w:rsidRPr="00076569">
        <w:rPr>
          <w:rFonts w:ascii="Sylfaen" w:hAnsi="Sylfaen"/>
          <w:szCs w:val="20"/>
          <w:lang w:val="en-US"/>
        </w:rPr>
        <w:t xml:space="preserve"> </w:t>
      </w:r>
      <w:proofErr w:type="spellStart"/>
      <w:r w:rsidRPr="00076569">
        <w:rPr>
          <w:rFonts w:ascii="Sylfaen" w:hAnsi="Sylfaen"/>
          <w:szCs w:val="20"/>
          <w:lang w:val="en-US"/>
        </w:rPr>
        <w:t>დისტანციურად</w:t>
      </w:r>
      <w:proofErr w:type="spellEnd"/>
      <w:r w:rsidRPr="00076569">
        <w:rPr>
          <w:rFonts w:ascii="Sylfaen" w:hAnsi="Sylfaen"/>
          <w:szCs w:val="20"/>
          <w:lang w:val="en-US"/>
        </w:rPr>
        <w:t xml:space="preserve"> და </w:t>
      </w:r>
      <w:proofErr w:type="spellStart"/>
      <w:r w:rsidRPr="00076569">
        <w:rPr>
          <w:rFonts w:ascii="Sylfaen" w:hAnsi="Sylfaen"/>
          <w:szCs w:val="20"/>
          <w:lang w:val="en-US"/>
        </w:rPr>
        <w:lastRenderedPageBreak/>
        <w:t>ქუჩაში</w:t>
      </w:r>
      <w:proofErr w:type="spellEnd"/>
      <w:r w:rsidRPr="00076569">
        <w:rPr>
          <w:rFonts w:ascii="Sylfaen" w:hAnsi="Sylfaen"/>
          <w:szCs w:val="20"/>
          <w:lang w:val="en-US"/>
        </w:rPr>
        <w:t xml:space="preserve"> </w:t>
      </w:r>
      <w:proofErr w:type="spellStart"/>
      <w:r w:rsidRPr="00076569">
        <w:rPr>
          <w:rFonts w:ascii="Sylfaen" w:hAnsi="Sylfaen"/>
          <w:szCs w:val="20"/>
          <w:lang w:val="en-US"/>
        </w:rPr>
        <w:t>დადების</w:t>
      </w:r>
      <w:proofErr w:type="spellEnd"/>
      <w:r w:rsidRPr="00076569">
        <w:rPr>
          <w:rFonts w:ascii="Sylfaen" w:hAnsi="Sylfaen"/>
          <w:szCs w:val="20"/>
          <w:lang w:val="en-US"/>
        </w:rPr>
        <w:t xml:space="preserve"> </w:t>
      </w:r>
      <w:proofErr w:type="spellStart"/>
      <w:r w:rsidRPr="00076569">
        <w:rPr>
          <w:rFonts w:ascii="Sylfaen" w:hAnsi="Sylfaen"/>
          <w:szCs w:val="20"/>
          <w:lang w:val="en-US"/>
        </w:rPr>
        <w:t>დროს</w:t>
      </w:r>
      <w:proofErr w:type="spellEnd"/>
      <w:r w:rsidRPr="00076569">
        <w:rPr>
          <w:rFonts w:ascii="Sylfaen" w:hAnsi="Sylfaen"/>
          <w:szCs w:val="20"/>
          <w:lang w:val="en-US"/>
        </w:rPr>
        <w:t xml:space="preserve">, </w:t>
      </w:r>
      <w:proofErr w:type="spellStart"/>
      <w:r w:rsidRPr="00076569">
        <w:rPr>
          <w:rFonts w:ascii="Sylfaen" w:hAnsi="Sylfaen"/>
          <w:szCs w:val="20"/>
          <w:lang w:val="en-US"/>
        </w:rPr>
        <w:t>მოვაჭრე</w:t>
      </w:r>
      <w:proofErr w:type="spellEnd"/>
      <w:r>
        <w:rPr>
          <w:rFonts w:ascii="Sylfaen" w:hAnsi="Sylfaen"/>
          <w:szCs w:val="20"/>
          <w:lang w:val="ka-GE"/>
        </w:rPr>
        <w:t>ს დამატებით</w:t>
      </w:r>
      <w:r w:rsidRPr="00076569">
        <w:rPr>
          <w:rFonts w:ascii="Sylfaen" w:hAnsi="Sylfaen"/>
          <w:szCs w:val="20"/>
          <w:lang w:val="en-US"/>
        </w:rPr>
        <w:t xml:space="preserve"> </w:t>
      </w:r>
      <w:r>
        <w:rPr>
          <w:rFonts w:ascii="Sylfaen" w:hAnsi="Sylfaen"/>
          <w:szCs w:val="20"/>
          <w:lang w:val="ka-GE"/>
        </w:rPr>
        <w:t>ევალება</w:t>
      </w:r>
      <w:r w:rsidR="0013029E">
        <w:rPr>
          <w:rFonts w:ascii="Sylfaen" w:hAnsi="Sylfaen"/>
          <w:szCs w:val="20"/>
          <w:lang w:val="ka-GE"/>
        </w:rPr>
        <w:t xml:space="preserve"> მომხმარებლისთვის</w:t>
      </w:r>
      <w:r w:rsidRPr="00076569">
        <w:rPr>
          <w:rFonts w:ascii="Sylfaen" w:hAnsi="Sylfaen"/>
          <w:szCs w:val="20"/>
          <w:lang w:val="en-US"/>
        </w:rPr>
        <w:t xml:space="preserve"> </w:t>
      </w:r>
      <w:proofErr w:type="spellStart"/>
      <w:r w:rsidRPr="00076569">
        <w:rPr>
          <w:rFonts w:ascii="Sylfaen" w:hAnsi="Sylfaen"/>
          <w:szCs w:val="20"/>
          <w:lang w:val="en-US"/>
        </w:rPr>
        <w:t>კომუნიკაციის</w:t>
      </w:r>
      <w:proofErr w:type="spellEnd"/>
      <w:r w:rsidRPr="00076569">
        <w:rPr>
          <w:rFonts w:ascii="Sylfaen" w:hAnsi="Sylfaen"/>
          <w:szCs w:val="20"/>
          <w:lang w:val="en-US"/>
        </w:rPr>
        <w:t xml:space="preserve"> </w:t>
      </w:r>
      <w:proofErr w:type="spellStart"/>
      <w:r w:rsidRPr="00076569">
        <w:rPr>
          <w:rFonts w:ascii="Sylfaen" w:hAnsi="Sylfaen"/>
          <w:szCs w:val="20"/>
          <w:lang w:val="en-US"/>
        </w:rPr>
        <w:t>ხარჯების</w:t>
      </w:r>
      <w:proofErr w:type="spellEnd"/>
      <w:r w:rsidRPr="00076569">
        <w:rPr>
          <w:rFonts w:ascii="Sylfaen" w:hAnsi="Sylfaen"/>
          <w:szCs w:val="20"/>
          <w:lang w:val="en-US"/>
        </w:rPr>
        <w:t xml:space="preserve">, </w:t>
      </w:r>
      <w:proofErr w:type="spellStart"/>
      <w:r w:rsidRPr="00076569">
        <w:rPr>
          <w:rFonts w:ascii="Sylfaen" w:hAnsi="Sylfaen"/>
          <w:szCs w:val="20"/>
          <w:lang w:val="en-US"/>
        </w:rPr>
        <w:t>საჩივრით</w:t>
      </w:r>
      <w:proofErr w:type="spellEnd"/>
      <w:r w:rsidRPr="00076569">
        <w:rPr>
          <w:rFonts w:ascii="Sylfaen" w:hAnsi="Sylfaen"/>
          <w:szCs w:val="20"/>
          <w:lang w:val="en-US"/>
        </w:rPr>
        <w:t xml:space="preserve"> </w:t>
      </w:r>
      <w:proofErr w:type="spellStart"/>
      <w:r w:rsidRPr="00076569">
        <w:rPr>
          <w:rFonts w:ascii="Sylfaen" w:hAnsi="Sylfaen"/>
          <w:szCs w:val="20"/>
          <w:lang w:val="en-US"/>
        </w:rPr>
        <w:t>მიმართვის</w:t>
      </w:r>
      <w:proofErr w:type="spellEnd"/>
      <w:r w:rsidRPr="00076569">
        <w:rPr>
          <w:rFonts w:ascii="Sylfaen" w:hAnsi="Sylfaen"/>
          <w:szCs w:val="20"/>
          <w:lang w:val="en-US"/>
        </w:rPr>
        <w:t xml:space="preserve"> </w:t>
      </w:r>
      <w:proofErr w:type="spellStart"/>
      <w:r w:rsidRPr="00076569">
        <w:rPr>
          <w:rFonts w:ascii="Sylfaen" w:hAnsi="Sylfaen"/>
          <w:szCs w:val="20"/>
          <w:lang w:val="en-US"/>
        </w:rPr>
        <w:t>უფლების</w:t>
      </w:r>
      <w:proofErr w:type="spellEnd"/>
      <w:r w:rsidRPr="00076569">
        <w:rPr>
          <w:rFonts w:ascii="Sylfaen" w:hAnsi="Sylfaen"/>
          <w:szCs w:val="20"/>
          <w:lang w:val="en-US"/>
        </w:rPr>
        <w:t xml:space="preserve">, </w:t>
      </w:r>
      <w:proofErr w:type="spellStart"/>
      <w:r w:rsidRPr="00076569">
        <w:rPr>
          <w:rFonts w:ascii="Sylfaen" w:hAnsi="Sylfaen"/>
          <w:szCs w:val="20"/>
          <w:lang w:val="en-US"/>
        </w:rPr>
        <w:t>ვალდებულებების</w:t>
      </w:r>
      <w:proofErr w:type="spellEnd"/>
      <w:r w:rsidRPr="00076569">
        <w:rPr>
          <w:rFonts w:ascii="Sylfaen" w:hAnsi="Sylfaen"/>
          <w:szCs w:val="20"/>
          <w:lang w:val="en-US"/>
        </w:rPr>
        <w:t xml:space="preserve"> </w:t>
      </w:r>
      <w:proofErr w:type="spellStart"/>
      <w:r w:rsidRPr="00076569">
        <w:rPr>
          <w:rFonts w:ascii="Sylfaen" w:hAnsi="Sylfaen"/>
          <w:szCs w:val="20"/>
          <w:lang w:val="en-US"/>
        </w:rPr>
        <w:t>შესრულების</w:t>
      </w:r>
      <w:proofErr w:type="spellEnd"/>
      <w:r w:rsidRPr="00076569">
        <w:rPr>
          <w:rFonts w:ascii="Sylfaen" w:hAnsi="Sylfaen"/>
          <w:szCs w:val="20"/>
          <w:lang w:val="en-US"/>
        </w:rPr>
        <w:t xml:space="preserve"> </w:t>
      </w:r>
      <w:proofErr w:type="spellStart"/>
      <w:r w:rsidRPr="00076569">
        <w:rPr>
          <w:rFonts w:ascii="Sylfaen" w:hAnsi="Sylfaen"/>
          <w:szCs w:val="20"/>
          <w:lang w:val="en-US"/>
        </w:rPr>
        <w:t>მინიმალური</w:t>
      </w:r>
      <w:proofErr w:type="spellEnd"/>
      <w:r w:rsidRPr="00076569">
        <w:rPr>
          <w:rFonts w:ascii="Sylfaen" w:hAnsi="Sylfaen"/>
          <w:szCs w:val="20"/>
          <w:lang w:val="en-US"/>
        </w:rPr>
        <w:t xml:space="preserve"> </w:t>
      </w:r>
      <w:proofErr w:type="spellStart"/>
      <w:r w:rsidRPr="00076569">
        <w:rPr>
          <w:rFonts w:ascii="Sylfaen" w:hAnsi="Sylfaen"/>
          <w:szCs w:val="20"/>
          <w:lang w:val="en-US"/>
        </w:rPr>
        <w:t>ვადის</w:t>
      </w:r>
      <w:proofErr w:type="spellEnd"/>
      <w:r w:rsidRPr="00076569">
        <w:rPr>
          <w:rFonts w:ascii="Sylfaen" w:hAnsi="Sylfaen"/>
          <w:szCs w:val="20"/>
          <w:lang w:val="en-US"/>
        </w:rPr>
        <w:t xml:space="preserve"> და </w:t>
      </w:r>
      <w:proofErr w:type="spellStart"/>
      <w:r w:rsidRPr="00076569">
        <w:rPr>
          <w:rFonts w:ascii="Sylfaen" w:hAnsi="Sylfaen"/>
          <w:szCs w:val="20"/>
          <w:lang w:val="en-US"/>
        </w:rPr>
        <w:t>ხელშეკრულებაზე</w:t>
      </w:r>
      <w:proofErr w:type="spellEnd"/>
      <w:r w:rsidRPr="00076569">
        <w:rPr>
          <w:rFonts w:ascii="Sylfaen" w:hAnsi="Sylfaen"/>
          <w:szCs w:val="20"/>
          <w:lang w:val="en-US"/>
        </w:rPr>
        <w:t xml:space="preserve"> </w:t>
      </w:r>
      <w:proofErr w:type="spellStart"/>
      <w:r w:rsidRPr="00076569">
        <w:rPr>
          <w:rFonts w:ascii="Sylfaen" w:hAnsi="Sylfaen"/>
          <w:szCs w:val="20"/>
          <w:lang w:val="en-US"/>
        </w:rPr>
        <w:t>უარის</w:t>
      </w:r>
      <w:proofErr w:type="spellEnd"/>
      <w:r w:rsidRPr="00076569">
        <w:rPr>
          <w:rFonts w:ascii="Sylfaen" w:hAnsi="Sylfaen"/>
          <w:szCs w:val="20"/>
          <w:lang w:val="en-US"/>
        </w:rPr>
        <w:t xml:space="preserve"> </w:t>
      </w:r>
      <w:proofErr w:type="spellStart"/>
      <w:r w:rsidRPr="00076569">
        <w:rPr>
          <w:rFonts w:ascii="Sylfaen" w:hAnsi="Sylfaen"/>
          <w:szCs w:val="20"/>
          <w:lang w:val="en-US"/>
        </w:rPr>
        <w:t>თქმის</w:t>
      </w:r>
      <w:proofErr w:type="spellEnd"/>
      <w:r w:rsidRPr="00076569">
        <w:rPr>
          <w:rFonts w:ascii="Sylfaen" w:hAnsi="Sylfaen"/>
          <w:szCs w:val="20"/>
          <w:lang w:val="en-US"/>
        </w:rPr>
        <w:t xml:space="preserve"> </w:t>
      </w:r>
      <w:proofErr w:type="spellStart"/>
      <w:r w:rsidRPr="00076569">
        <w:rPr>
          <w:rFonts w:ascii="Sylfaen" w:hAnsi="Sylfaen"/>
          <w:szCs w:val="20"/>
          <w:lang w:val="en-US"/>
        </w:rPr>
        <w:t>შემთხვევაში</w:t>
      </w:r>
      <w:proofErr w:type="spellEnd"/>
      <w:r w:rsidRPr="00076569">
        <w:rPr>
          <w:rFonts w:ascii="Sylfaen" w:hAnsi="Sylfaen"/>
          <w:szCs w:val="20"/>
          <w:lang w:val="en-US"/>
        </w:rPr>
        <w:t xml:space="preserve">, </w:t>
      </w:r>
      <w:proofErr w:type="spellStart"/>
      <w:r w:rsidRPr="00076569">
        <w:rPr>
          <w:rFonts w:ascii="Sylfaen" w:hAnsi="Sylfaen"/>
          <w:szCs w:val="20"/>
          <w:lang w:val="en-US"/>
        </w:rPr>
        <w:t>პროდუქტის</w:t>
      </w:r>
      <w:proofErr w:type="spellEnd"/>
      <w:r w:rsidRPr="00076569">
        <w:rPr>
          <w:rFonts w:ascii="Sylfaen" w:hAnsi="Sylfaen"/>
          <w:szCs w:val="20"/>
          <w:lang w:val="en-US"/>
        </w:rPr>
        <w:t xml:space="preserve"> </w:t>
      </w:r>
      <w:proofErr w:type="spellStart"/>
      <w:r w:rsidRPr="00076569">
        <w:rPr>
          <w:rFonts w:ascii="Sylfaen" w:hAnsi="Sylfaen"/>
          <w:szCs w:val="20"/>
          <w:lang w:val="en-US"/>
        </w:rPr>
        <w:t>უკან</w:t>
      </w:r>
      <w:proofErr w:type="spellEnd"/>
      <w:r w:rsidRPr="00076569">
        <w:rPr>
          <w:rFonts w:ascii="Sylfaen" w:hAnsi="Sylfaen"/>
          <w:szCs w:val="20"/>
          <w:lang w:val="en-US"/>
        </w:rPr>
        <w:t xml:space="preserve"> </w:t>
      </w:r>
      <w:proofErr w:type="spellStart"/>
      <w:r w:rsidRPr="00076569">
        <w:rPr>
          <w:rFonts w:ascii="Sylfaen" w:hAnsi="Sylfaen"/>
          <w:szCs w:val="20"/>
          <w:lang w:val="en-US"/>
        </w:rPr>
        <w:t>დაბრუნებისთვის</w:t>
      </w:r>
      <w:proofErr w:type="spellEnd"/>
      <w:r w:rsidRPr="00076569">
        <w:rPr>
          <w:rFonts w:ascii="Sylfaen" w:hAnsi="Sylfaen"/>
          <w:szCs w:val="20"/>
          <w:lang w:val="en-US"/>
        </w:rPr>
        <w:t xml:space="preserve"> </w:t>
      </w:r>
      <w:proofErr w:type="spellStart"/>
      <w:r w:rsidRPr="00076569">
        <w:rPr>
          <w:rFonts w:ascii="Sylfaen" w:hAnsi="Sylfaen"/>
          <w:szCs w:val="20"/>
          <w:lang w:val="en-US"/>
        </w:rPr>
        <w:t>საჭირო</w:t>
      </w:r>
      <w:proofErr w:type="spellEnd"/>
      <w:r w:rsidRPr="00076569">
        <w:rPr>
          <w:rFonts w:ascii="Sylfaen" w:hAnsi="Sylfaen"/>
          <w:szCs w:val="20"/>
          <w:lang w:val="en-US"/>
        </w:rPr>
        <w:t xml:space="preserve"> </w:t>
      </w:r>
      <w:proofErr w:type="spellStart"/>
      <w:r w:rsidRPr="00076569">
        <w:rPr>
          <w:rFonts w:ascii="Sylfaen" w:hAnsi="Sylfaen"/>
          <w:szCs w:val="20"/>
          <w:lang w:val="en-US"/>
        </w:rPr>
        <w:t>ხარჯების</w:t>
      </w:r>
      <w:proofErr w:type="spellEnd"/>
      <w:r w:rsidRPr="00076569">
        <w:rPr>
          <w:rFonts w:ascii="Sylfaen" w:hAnsi="Sylfaen"/>
          <w:szCs w:val="20"/>
          <w:lang w:val="en-US"/>
        </w:rPr>
        <w:t xml:space="preserve"> </w:t>
      </w:r>
      <w:proofErr w:type="spellStart"/>
      <w:r w:rsidRPr="00076569">
        <w:rPr>
          <w:rFonts w:ascii="Sylfaen" w:hAnsi="Sylfaen"/>
          <w:szCs w:val="20"/>
          <w:lang w:val="en-US"/>
        </w:rPr>
        <w:t>დაფარვის</w:t>
      </w:r>
      <w:proofErr w:type="spellEnd"/>
      <w:r w:rsidRPr="00076569">
        <w:rPr>
          <w:rFonts w:ascii="Sylfaen" w:hAnsi="Sylfaen"/>
          <w:szCs w:val="20"/>
          <w:lang w:val="en-US"/>
        </w:rPr>
        <w:t xml:space="preserve"> </w:t>
      </w:r>
      <w:proofErr w:type="spellStart"/>
      <w:r w:rsidRPr="00076569">
        <w:rPr>
          <w:rFonts w:ascii="Sylfaen" w:hAnsi="Sylfaen"/>
          <w:szCs w:val="20"/>
          <w:lang w:val="en-US"/>
        </w:rPr>
        <w:t>შესახებ</w:t>
      </w:r>
      <w:proofErr w:type="spellEnd"/>
      <w:r w:rsidR="0013029E">
        <w:rPr>
          <w:rFonts w:ascii="Sylfaen" w:hAnsi="Sylfaen"/>
          <w:szCs w:val="20"/>
          <w:lang w:val="ka-GE"/>
        </w:rPr>
        <w:t xml:space="preserve"> ინფორმაციის მიწოდება</w:t>
      </w:r>
      <w:r w:rsidRPr="00076569">
        <w:rPr>
          <w:rFonts w:ascii="Sylfaen" w:hAnsi="Sylfaen"/>
          <w:szCs w:val="20"/>
          <w:lang w:val="en-US"/>
        </w:rPr>
        <w:t xml:space="preserve">. </w:t>
      </w:r>
      <w:proofErr w:type="spellStart"/>
      <w:r w:rsidRPr="00076569">
        <w:rPr>
          <w:rFonts w:ascii="Sylfaen" w:hAnsi="Sylfaen"/>
          <w:szCs w:val="20"/>
          <w:lang w:val="en-US"/>
        </w:rPr>
        <w:t>კანონ</w:t>
      </w:r>
      <w:proofErr w:type="spellEnd"/>
      <w:r w:rsidR="005E602A">
        <w:rPr>
          <w:rFonts w:ascii="Sylfaen" w:hAnsi="Sylfaen"/>
          <w:szCs w:val="20"/>
          <w:lang w:val="ka-GE"/>
        </w:rPr>
        <w:t>ის</w:t>
      </w:r>
      <w:r w:rsidRPr="00076569">
        <w:rPr>
          <w:rFonts w:ascii="Sylfaen" w:hAnsi="Sylfaen"/>
          <w:szCs w:val="20"/>
          <w:lang w:val="en-US"/>
        </w:rPr>
        <w:t xml:space="preserve"> </w:t>
      </w:r>
      <w:proofErr w:type="spellStart"/>
      <w:r w:rsidRPr="00076569">
        <w:rPr>
          <w:rFonts w:ascii="Sylfaen" w:hAnsi="Sylfaen"/>
          <w:szCs w:val="20"/>
          <w:lang w:val="en-US"/>
        </w:rPr>
        <w:t>მიხედვით</w:t>
      </w:r>
      <w:proofErr w:type="spellEnd"/>
      <w:r w:rsidRPr="00076569">
        <w:rPr>
          <w:rFonts w:ascii="Sylfaen" w:hAnsi="Sylfaen"/>
          <w:szCs w:val="20"/>
          <w:lang w:val="en-US"/>
        </w:rPr>
        <w:t xml:space="preserve">, </w:t>
      </w:r>
      <w:proofErr w:type="spellStart"/>
      <w:r w:rsidRPr="00076569">
        <w:rPr>
          <w:rFonts w:ascii="Sylfaen" w:hAnsi="Sylfaen"/>
          <w:szCs w:val="20"/>
          <w:lang w:val="en-US"/>
        </w:rPr>
        <w:t>ხელშეკრულების</w:t>
      </w:r>
      <w:proofErr w:type="spellEnd"/>
      <w:r w:rsidRPr="00076569">
        <w:rPr>
          <w:rFonts w:ascii="Sylfaen" w:hAnsi="Sylfaen"/>
          <w:szCs w:val="20"/>
          <w:lang w:val="en-US"/>
        </w:rPr>
        <w:t xml:space="preserve"> შესაბამისი </w:t>
      </w:r>
      <w:proofErr w:type="spellStart"/>
      <w:r w:rsidRPr="00076569">
        <w:rPr>
          <w:rFonts w:ascii="Sylfaen" w:hAnsi="Sylfaen"/>
          <w:szCs w:val="20"/>
          <w:lang w:val="en-US"/>
        </w:rPr>
        <w:t>პროდუქტის</w:t>
      </w:r>
      <w:proofErr w:type="spellEnd"/>
      <w:r w:rsidRPr="00076569">
        <w:rPr>
          <w:rFonts w:ascii="Sylfaen" w:hAnsi="Sylfaen"/>
          <w:szCs w:val="20"/>
          <w:lang w:val="en-US"/>
        </w:rPr>
        <w:t xml:space="preserve"> </w:t>
      </w:r>
      <w:proofErr w:type="spellStart"/>
      <w:r w:rsidRPr="00076569">
        <w:rPr>
          <w:rFonts w:ascii="Sylfaen" w:hAnsi="Sylfaen"/>
          <w:szCs w:val="20"/>
          <w:lang w:val="en-US"/>
        </w:rPr>
        <w:t>მიღების</w:t>
      </w:r>
      <w:proofErr w:type="spellEnd"/>
      <w:r w:rsidRPr="00076569">
        <w:rPr>
          <w:rFonts w:ascii="Sylfaen" w:hAnsi="Sylfaen"/>
          <w:szCs w:val="20"/>
          <w:lang w:val="en-US"/>
        </w:rPr>
        <w:t xml:space="preserve"> </w:t>
      </w:r>
      <w:proofErr w:type="spellStart"/>
      <w:r w:rsidRPr="00076569">
        <w:rPr>
          <w:rFonts w:ascii="Sylfaen" w:hAnsi="Sylfaen"/>
          <w:szCs w:val="20"/>
          <w:lang w:val="en-US"/>
        </w:rPr>
        <w:t>დროს</w:t>
      </w:r>
      <w:proofErr w:type="spellEnd"/>
      <w:r w:rsidRPr="00076569">
        <w:rPr>
          <w:rFonts w:ascii="Sylfaen" w:hAnsi="Sylfaen"/>
          <w:szCs w:val="20"/>
          <w:lang w:val="en-US"/>
        </w:rPr>
        <w:t xml:space="preserve">, </w:t>
      </w:r>
      <w:proofErr w:type="spellStart"/>
      <w:r w:rsidRPr="00076569">
        <w:rPr>
          <w:rFonts w:ascii="Sylfaen" w:hAnsi="Sylfaen"/>
          <w:szCs w:val="20"/>
          <w:lang w:val="en-US"/>
        </w:rPr>
        <w:t>მომხმარებელს</w:t>
      </w:r>
      <w:proofErr w:type="spellEnd"/>
      <w:r w:rsidR="000B7E09">
        <w:rPr>
          <w:rFonts w:ascii="Sylfaen" w:hAnsi="Sylfaen"/>
          <w:szCs w:val="20"/>
          <w:lang w:val="ka-GE"/>
        </w:rPr>
        <w:t xml:space="preserve"> </w:t>
      </w:r>
      <w:proofErr w:type="spellStart"/>
      <w:r w:rsidRPr="00076569">
        <w:rPr>
          <w:rFonts w:ascii="Sylfaen" w:hAnsi="Sylfaen"/>
          <w:szCs w:val="20"/>
          <w:lang w:val="en-US"/>
        </w:rPr>
        <w:t>უფლება</w:t>
      </w:r>
      <w:proofErr w:type="spellEnd"/>
      <w:r w:rsidRPr="00076569">
        <w:rPr>
          <w:rFonts w:ascii="Sylfaen" w:hAnsi="Sylfaen"/>
          <w:szCs w:val="20"/>
          <w:lang w:val="en-US"/>
        </w:rPr>
        <w:t xml:space="preserve"> </w:t>
      </w:r>
      <w:proofErr w:type="spellStart"/>
      <w:r w:rsidRPr="00076569">
        <w:rPr>
          <w:rFonts w:ascii="Sylfaen" w:hAnsi="Sylfaen"/>
          <w:szCs w:val="20"/>
          <w:lang w:val="en-US"/>
        </w:rPr>
        <w:t>აქვს</w:t>
      </w:r>
      <w:proofErr w:type="spellEnd"/>
      <w:r w:rsidRPr="00076569">
        <w:rPr>
          <w:rFonts w:ascii="Sylfaen" w:hAnsi="Sylfaen"/>
          <w:szCs w:val="20"/>
          <w:lang w:val="en-US"/>
        </w:rPr>
        <w:t xml:space="preserve">, </w:t>
      </w:r>
      <w:proofErr w:type="spellStart"/>
      <w:r w:rsidRPr="00076569">
        <w:rPr>
          <w:rFonts w:ascii="Sylfaen" w:hAnsi="Sylfaen"/>
          <w:szCs w:val="20"/>
          <w:lang w:val="en-US"/>
        </w:rPr>
        <w:t>პროდუქტის</w:t>
      </w:r>
      <w:proofErr w:type="spellEnd"/>
      <w:r w:rsidRPr="00076569">
        <w:rPr>
          <w:rFonts w:ascii="Sylfaen" w:hAnsi="Sylfaen"/>
          <w:szCs w:val="20"/>
          <w:lang w:val="en-US"/>
        </w:rPr>
        <w:t xml:space="preserve"> </w:t>
      </w:r>
      <w:proofErr w:type="spellStart"/>
      <w:r w:rsidRPr="00076569">
        <w:rPr>
          <w:rFonts w:ascii="Sylfaen" w:hAnsi="Sylfaen"/>
          <w:szCs w:val="20"/>
          <w:lang w:val="en-US"/>
        </w:rPr>
        <w:t>მფლობელობაში</w:t>
      </w:r>
      <w:proofErr w:type="spellEnd"/>
      <w:r w:rsidRPr="00076569">
        <w:rPr>
          <w:rFonts w:ascii="Sylfaen" w:hAnsi="Sylfaen"/>
          <w:szCs w:val="20"/>
          <w:lang w:val="en-US"/>
        </w:rPr>
        <w:t xml:space="preserve"> </w:t>
      </w:r>
      <w:proofErr w:type="spellStart"/>
      <w:r w:rsidRPr="00076569">
        <w:rPr>
          <w:rFonts w:ascii="Sylfaen" w:hAnsi="Sylfaen"/>
          <w:szCs w:val="20"/>
          <w:lang w:val="en-US"/>
        </w:rPr>
        <w:t>მიღებიდან</w:t>
      </w:r>
      <w:proofErr w:type="spellEnd"/>
      <w:r w:rsidRPr="00076569">
        <w:rPr>
          <w:rFonts w:ascii="Sylfaen" w:hAnsi="Sylfaen"/>
          <w:szCs w:val="20"/>
          <w:lang w:val="en-US"/>
        </w:rPr>
        <w:t xml:space="preserve"> 14 </w:t>
      </w:r>
      <w:proofErr w:type="spellStart"/>
      <w:r w:rsidRPr="00076569">
        <w:rPr>
          <w:rFonts w:ascii="Sylfaen" w:hAnsi="Sylfaen"/>
          <w:szCs w:val="20"/>
          <w:lang w:val="en-US"/>
        </w:rPr>
        <w:t>დღის</w:t>
      </w:r>
      <w:proofErr w:type="spellEnd"/>
      <w:r w:rsidRPr="00076569">
        <w:rPr>
          <w:rFonts w:ascii="Sylfaen" w:hAnsi="Sylfaen"/>
          <w:szCs w:val="20"/>
          <w:lang w:val="en-US"/>
        </w:rPr>
        <w:t xml:space="preserve"> </w:t>
      </w:r>
      <w:proofErr w:type="spellStart"/>
      <w:r w:rsidRPr="00076569">
        <w:rPr>
          <w:rFonts w:ascii="Sylfaen" w:hAnsi="Sylfaen"/>
          <w:szCs w:val="20"/>
          <w:lang w:val="en-US"/>
        </w:rPr>
        <w:t>განმავლობაში</w:t>
      </w:r>
      <w:proofErr w:type="spellEnd"/>
      <w:r w:rsidRPr="00076569">
        <w:rPr>
          <w:rFonts w:ascii="Sylfaen" w:hAnsi="Sylfaen"/>
          <w:szCs w:val="20"/>
          <w:lang w:val="en-US"/>
        </w:rPr>
        <w:t xml:space="preserve"> </w:t>
      </w:r>
      <w:proofErr w:type="spellStart"/>
      <w:r w:rsidRPr="00076569">
        <w:rPr>
          <w:rFonts w:ascii="Sylfaen" w:hAnsi="Sylfaen"/>
          <w:szCs w:val="20"/>
          <w:lang w:val="en-US"/>
        </w:rPr>
        <w:t>ყოველგვარი</w:t>
      </w:r>
      <w:proofErr w:type="spellEnd"/>
      <w:r w:rsidRPr="00076569">
        <w:rPr>
          <w:rFonts w:ascii="Sylfaen" w:hAnsi="Sylfaen"/>
          <w:szCs w:val="20"/>
          <w:lang w:val="en-US"/>
        </w:rPr>
        <w:t xml:space="preserve"> </w:t>
      </w:r>
      <w:proofErr w:type="spellStart"/>
      <w:r w:rsidRPr="00076569">
        <w:rPr>
          <w:rFonts w:ascii="Sylfaen" w:hAnsi="Sylfaen"/>
          <w:szCs w:val="20"/>
          <w:lang w:val="en-US"/>
        </w:rPr>
        <w:t>საფუძვლის</w:t>
      </w:r>
      <w:proofErr w:type="spellEnd"/>
      <w:r w:rsidRPr="00076569">
        <w:rPr>
          <w:rFonts w:ascii="Sylfaen" w:hAnsi="Sylfaen"/>
          <w:szCs w:val="20"/>
          <w:lang w:val="en-US"/>
        </w:rPr>
        <w:t xml:space="preserve"> </w:t>
      </w:r>
      <w:proofErr w:type="spellStart"/>
      <w:r w:rsidRPr="00076569">
        <w:rPr>
          <w:rFonts w:ascii="Sylfaen" w:hAnsi="Sylfaen"/>
          <w:szCs w:val="20"/>
          <w:lang w:val="en-US"/>
        </w:rPr>
        <w:t>გარეშე</w:t>
      </w:r>
      <w:proofErr w:type="spellEnd"/>
      <w:r w:rsidRPr="00076569">
        <w:rPr>
          <w:rFonts w:ascii="Sylfaen" w:hAnsi="Sylfaen"/>
          <w:szCs w:val="20"/>
          <w:lang w:val="en-US"/>
        </w:rPr>
        <w:t xml:space="preserve"> </w:t>
      </w:r>
      <w:proofErr w:type="spellStart"/>
      <w:r w:rsidRPr="00076569">
        <w:rPr>
          <w:rFonts w:ascii="Sylfaen" w:hAnsi="Sylfaen"/>
          <w:szCs w:val="20"/>
          <w:lang w:val="en-US"/>
        </w:rPr>
        <w:t>უარი</w:t>
      </w:r>
      <w:proofErr w:type="spellEnd"/>
      <w:r w:rsidRPr="00076569">
        <w:rPr>
          <w:rFonts w:ascii="Sylfaen" w:hAnsi="Sylfaen"/>
          <w:szCs w:val="20"/>
          <w:lang w:val="en-US"/>
        </w:rPr>
        <w:t xml:space="preserve"> </w:t>
      </w:r>
      <w:proofErr w:type="spellStart"/>
      <w:r w:rsidRPr="00076569">
        <w:rPr>
          <w:rFonts w:ascii="Sylfaen" w:hAnsi="Sylfaen"/>
          <w:szCs w:val="20"/>
          <w:lang w:val="en-US"/>
        </w:rPr>
        <w:t>თქვას</w:t>
      </w:r>
      <w:proofErr w:type="spellEnd"/>
      <w:r w:rsidRPr="00076569">
        <w:rPr>
          <w:rFonts w:ascii="Sylfaen" w:hAnsi="Sylfaen"/>
          <w:szCs w:val="20"/>
          <w:lang w:val="en-US"/>
        </w:rPr>
        <w:t xml:space="preserve"> </w:t>
      </w:r>
      <w:proofErr w:type="spellStart"/>
      <w:r w:rsidRPr="00076569">
        <w:rPr>
          <w:rFonts w:ascii="Sylfaen" w:hAnsi="Sylfaen"/>
          <w:szCs w:val="20"/>
          <w:lang w:val="en-US"/>
        </w:rPr>
        <w:t>ხელშეკრულებაზე</w:t>
      </w:r>
      <w:proofErr w:type="spellEnd"/>
      <w:r w:rsidRPr="00076569">
        <w:rPr>
          <w:rFonts w:ascii="Sylfaen" w:hAnsi="Sylfaen"/>
          <w:szCs w:val="20"/>
          <w:lang w:val="en-US"/>
        </w:rPr>
        <w:t xml:space="preserve">, </w:t>
      </w:r>
      <w:proofErr w:type="spellStart"/>
      <w:r w:rsidRPr="00076569">
        <w:rPr>
          <w:rFonts w:ascii="Sylfaen" w:hAnsi="Sylfaen"/>
          <w:szCs w:val="20"/>
          <w:lang w:val="en-US"/>
        </w:rPr>
        <w:t>გარდა</w:t>
      </w:r>
      <w:proofErr w:type="spellEnd"/>
      <w:r w:rsidR="003D663C">
        <w:rPr>
          <w:rFonts w:ascii="Sylfaen" w:hAnsi="Sylfaen"/>
          <w:szCs w:val="20"/>
          <w:lang w:val="en-US"/>
        </w:rPr>
        <w:t xml:space="preserve"> </w:t>
      </w:r>
      <w:r w:rsidR="003D663C">
        <w:rPr>
          <w:rFonts w:ascii="Sylfaen" w:hAnsi="Sylfaen"/>
          <w:szCs w:val="20"/>
          <w:lang w:val="ka-GE"/>
        </w:rPr>
        <w:t xml:space="preserve">კანონით გათვალისწინებული შესაბამისი შემთხვევებისა. </w:t>
      </w:r>
    </w:p>
    <w:p w14:paraId="3B7A51E5" w14:textId="400887C6" w:rsidR="00096041" w:rsidRPr="000808FA" w:rsidRDefault="006F2E3E" w:rsidP="00096041">
      <w:pPr>
        <w:pStyle w:val="ListParagraph"/>
        <w:numPr>
          <w:ilvl w:val="0"/>
          <w:numId w:val="14"/>
        </w:numPr>
        <w:jc w:val="both"/>
        <w:rPr>
          <w:rFonts w:ascii="Sylfaen" w:hAnsi="Sylfaen"/>
          <w:b/>
          <w:bCs/>
          <w:szCs w:val="20"/>
          <w:lang w:val="en-US"/>
        </w:rPr>
      </w:pPr>
      <w:r w:rsidRPr="000808FA">
        <w:rPr>
          <w:rFonts w:ascii="Sylfaen" w:hAnsi="Sylfaen"/>
          <w:b/>
          <w:bCs/>
          <w:szCs w:val="20"/>
          <w:lang w:val="ka-GE"/>
        </w:rPr>
        <w:t>მომხმარებლის უფლებების დარღვევის შესწავლა და დარღვევებზე რეაგირება</w:t>
      </w:r>
    </w:p>
    <w:p w14:paraId="224D9724" w14:textId="7A8298D5" w:rsidR="000808FA" w:rsidRDefault="000808FA" w:rsidP="000808FA">
      <w:pPr>
        <w:jc w:val="both"/>
        <w:rPr>
          <w:rFonts w:ascii="Sylfaen" w:hAnsi="Sylfaen"/>
          <w:szCs w:val="20"/>
          <w:lang w:val="ka-GE"/>
        </w:rPr>
      </w:pPr>
      <w:r>
        <w:rPr>
          <w:rFonts w:ascii="Sylfaen" w:hAnsi="Sylfaen"/>
          <w:szCs w:val="20"/>
          <w:lang w:val="ka-GE"/>
        </w:rPr>
        <w:t xml:space="preserve">კანონი განსაზღვრავს </w:t>
      </w:r>
      <w:proofErr w:type="spellStart"/>
      <w:r w:rsidRPr="000808FA">
        <w:rPr>
          <w:rFonts w:ascii="Sylfaen" w:hAnsi="Sylfaen"/>
          <w:szCs w:val="20"/>
          <w:lang w:val="en-US"/>
        </w:rPr>
        <w:t>კონკურენციის</w:t>
      </w:r>
      <w:proofErr w:type="spellEnd"/>
      <w:r w:rsidRPr="000808FA">
        <w:rPr>
          <w:rFonts w:ascii="Sylfaen" w:hAnsi="Sylfaen"/>
          <w:szCs w:val="20"/>
          <w:lang w:val="en-US"/>
        </w:rPr>
        <w:t xml:space="preserve"> </w:t>
      </w:r>
      <w:proofErr w:type="spellStart"/>
      <w:r w:rsidRPr="000808FA">
        <w:rPr>
          <w:rFonts w:ascii="Sylfaen" w:hAnsi="Sylfaen"/>
          <w:szCs w:val="20"/>
          <w:lang w:val="en-US"/>
        </w:rPr>
        <w:t>სააგენტოს</w:t>
      </w:r>
      <w:proofErr w:type="spellEnd"/>
      <w:r w:rsidRPr="000808FA">
        <w:rPr>
          <w:rFonts w:ascii="Sylfaen" w:hAnsi="Sylfaen"/>
          <w:szCs w:val="20"/>
          <w:lang w:val="en-US"/>
        </w:rPr>
        <w:t xml:space="preserve"> </w:t>
      </w:r>
      <w:proofErr w:type="spellStart"/>
      <w:r w:rsidRPr="000808FA">
        <w:rPr>
          <w:rFonts w:ascii="Sylfaen" w:hAnsi="Sylfaen"/>
          <w:szCs w:val="20"/>
          <w:lang w:val="en-US"/>
        </w:rPr>
        <w:t>უფლებამოსილებებ</w:t>
      </w:r>
      <w:proofErr w:type="spellEnd"/>
      <w:r>
        <w:rPr>
          <w:rFonts w:ascii="Sylfaen" w:hAnsi="Sylfaen"/>
          <w:szCs w:val="20"/>
          <w:lang w:val="ka-GE"/>
        </w:rPr>
        <w:t>ს</w:t>
      </w:r>
      <w:r w:rsidRPr="000808FA">
        <w:rPr>
          <w:rFonts w:ascii="Sylfaen" w:hAnsi="Sylfaen"/>
          <w:szCs w:val="20"/>
          <w:lang w:val="en-US"/>
        </w:rPr>
        <w:t xml:space="preserve">, </w:t>
      </w:r>
      <w:proofErr w:type="spellStart"/>
      <w:r w:rsidRPr="000808FA">
        <w:rPr>
          <w:rFonts w:ascii="Sylfaen" w:hAnsi="Sylfaen"/>
          <w:szCs w:val="20"/>
          <w:lang w:val="en-US"/>
        </w:rPr>
        <w:t>სააგენტოს</w:t>
      </w:r>
      <w:proofErr w:type="spellEnd"/>
      <w:r w:rsidRPr="000808FA">
        <w:rPr>
          <w:rFonts w:ascii="Sylfaen" w:hAnsi="Sylfaen"/>
          <w:szCs w:val="20"/>
          <w:lang w:val="en-US"/>
        </w:rPr>
        <w:t xml:space="preserve"> </w:t>
      </w:r>
      <w:proofErr w:type="spellStart"/>
      <w:r w:rsidRPr="000808FA">
        <w:rPr>
          <w:rFonts w:ascii="Sylfaen" w:hAnsi="Sylfaen"/>
          <w:szCs w:val="20"/>
          <w:lang w:val="en-US"/>
        </w:rPr>
        <w:t>მიერ</w:t>
      </w:r>
      <w:proofErr w:type="spellEnd"/>
      <w:r w:rsidRPr="000808FA">
        <w:rPr>
          <w:rFonts w:ascii="Sylfaen" w:hAnsi="Sylfaen"/>
          <w:szCs w:val="20"/>
          <w:lang w:val="en-US"/>
        </w:rPr>
        <w:t xml:space="preserve"> </w:t>
      </w:r>
      <w:proofErr w:type="spellStart"/>
      <w:r w:rsidRPr="000808FA">
        <w:rPr>
          <w:rFonts w:ascii="Sylfaen" w:hAnsi="Sylfaen"/>
          <w:szCs w:val="20"/>
          <w:lang w:val="en-US"/>
        </w:rPr>
        <w:t>საქმის</w:t>
      </w:r>
      <w:proofErr w:type="spellEnd"/>
      <w:r w:rsidRPr="000808FA">
        <w:rPr>
          <w:rFonts w:ascii="Sylfaen" w:hAnsi="Sylfaen"/>
          <w:szCs w:val="20"/>
          <w:lang w:val="en-US"/>
        </w:rPr>
        <w:t xml:space="preserve"> </w:t>
      </w:r>
      <w:proofErr w:type="spellStart"/>
      <w:r w:rsidRPr="000808FA">
        <w:rPr>
          <w:rFonts w:ascii="Sylfaen" w:hAnsi="Sylfaen"/>
          <w:szCs w:val="20"/>
          <w:lang w:val="en-US"/>
        </w:rPr>
        <w:t>შესწავლის</w:t>
      </w:r>
      <w:proofErr w:type="spellEnd"/>
      <w:r w:rsidRPr="000808FA">
        <w:rPr>
          <w:rFonts w:ascii="Sylfaen" w:hAnsi="Sylfaen"/>
          <w:szCs w:val="20"/>
          <w:lang w:val="en-US"/>
        </w:rPr>
        <w:t xml:space="preserve"> </w:t>
      </w:r>
      <w:proofErr w:type="spellStart"/>
      <w:r w:rsidRPr="000808FA">
        <w:rPr>
          <w:rFonts w:ascii="Sylfaen" w:hAnsi="Sylfaen"/>
          <w:szCs w:val="20"/>
          <w:lang w:val="en-US"/>
        </w:rPr>
        <w:t>პროცედურა</w:t>
      </w:r>
      <w:proofErr w:type="spellEnd"/>
      <w:r>
        <w:rPr>
          <w:rFonts w:ascii="Sylfaen" w:hAnsi="Sylfaen"/>
          <w:szCs w:val="20"/>
          <w:lang w:val="ka-GE"/>
        </w:rPr>
        <w:t>ს</w:t>
      </w:r>
      <w:r w:rsidRPr="000808FA">
        <w:rPr>
          <w:rFonts w:ascii="Sylfaen" w:hAnsi="Sylfaen"/>
          <w:szCs w:val="20"/>
          <w:lang w:val="en-US"/>
        </w:rPr>
        <w:t xml:space="preserve">, </w:t>
      </w:r>
      <w:proofErr w:type="spellStart"/>
      <w:r w:rsidRPr="000808FA">
        <w:rPr>
          <w:rFonts w:ascii="Sylfaen" w:hAnsi="Sylfaen"/>
          <w:szCs w:val="20"/>
          <w:lang w:val="en-US"/>
        </w:rPr>
        <w:t>ვადებ</w:t>
      </w:r>
      <w:proofErr w:type="spellEnd"/>
      <w:r>
        <w:rPr>
          <w:rFonts w:ascii="Sylfaen" w:hAnsi="Sylfaen"/>
          <w:szCs w:val="20"/>
          <w:lang w:val="ka-GE"/>
        </w:rPr>
        <w:t>ს</w:t>
      </w:r>
      <w:r w:rsidRPr="000808FA">
        <w:rPr>
          <w:rFonts w:ascii="Sylfaen" w:hAnsi="Sylfaen"/>
          <w:szCs w:val="20"/>
          <w:lang w:val="en-US"/>
        </w:rPr>
        <w:t xml:space="preserve"> და </w:t>
      </w:r>
      <w:proofErr w:type="spellStart"/>
      <w:r w:rsidRPr="000808FA">
        <w:rPr>
          <w:rFonts w:ascii="Sylfaen" w:hAnsi="Sylfaen"/>
          <w:szCs w:val="20"/>
          <w:lang w:val="en-US"/>
        </w:rPr>
        <w:t>საზღვრებ</w:t>
      </w:r>
      <w:proofErr w:type="spellEnd"/>
      <w:r>
        <w:rPr>
          <w:rFonts w:ascii="Sylfaen" w:hAnsi="Sylfaen"/>
          <w:szCs w:val="20"/>
          <w:lang w:val="ka-GE"/>
        </w:rPr>
        <w:t>ს</w:t>
      </w:r>
      <w:r w:rsidRPr="000808FA">
        <w:rPr>
          <w:rFonts w:ascii="Sylfaen" w:hAnsi="Sylfaen"/>
          <w:szCs w:val="20"/>
          <w:lang w:val="en-US"/>
        </w:rPr>
        <w:t xml:space="preserve">, </w:t>
      </w:r>
      <w:proofErr w:type="spellStart"/>
      <w:r w:rsidRPr="000808FA">
        <w:rPr>
          <w:rFonts w:ascii="Sylfaen" w:hAnsi="Sylfaen"/>
          <w:szCs w:val="20"/>
          <w:lang w:val="en-US"/>
        </w:rPr>
        <w:t>მომხმარებელთა</w:t>
      </w:r>
      <w:proofErr w:type="spellEnd"/>
      <w:r w:rsidRPr="000808FA">
        <w:rPr>
          <w:rFonts w:ascii="Sylfaen" w:hAnsi="Sylfaen"/>
          <w:szCs w:val="20"/>
          <w:lang w:val="en-US"/>
        </w:rPr>
        <w:t xml:space="preserve"> </w:t>
      </w:r>
      <w:proofErr w:type="spellStart"/>
      <w:r w:rsidRPr="000808FA">
        <w:rPr>
          <w:rFonts w:ascii="Sylfaen" w:hAnsi="Sylfaen"/>
          <w:szCs w:val="20"/>
          <w:lang w:val="en-US"/>
        </w:rPr>
        <w:t>ინტერესების</w:t>
      </w:r>
      <w:proofErr w:type="spellEnd"/>
      <w:r w:rsidRPr="000808FA">
        <w:rPr>
          <w:rFonts w:ascii="Sylfaen" w:hAnsi="Sylfaen"/>
          <w:szCs w:val="20"/>
          <w:lang w:val="en-US"/>
        </w:rPr>
        <w:t xml:space="preserve"> </w:t>
      </w:r>
      <w:proofErr w:type="spellStart"/>
      <w:r w:rsidRPr="000808FA">
        <w:rPr>
          <w:rFonts w:ascii="Sylfaen" w:hAnsi="Sylfaen"/>
          <w:szCs w:val="20"/>
          <w:lang w:val="en-US"/>
        </w:rPr>
        <w:t>დაცვის</w:t>
      </w:r>
      <w:proofErr w:type="spellEnd"/>
      <w:r w:rsidRPr="000808FA">
        <w:rPr>
          <w:rFonts w:ascii="Sylfaen" w:hAnsi="Sylfaen"/>
          <w:szCs w:val="20"/>
          <w:lang w:val="en-US"/>
        </w:rPr>
        <w:t xml:space="preserve"> </w:t>
      </w:r>
      <w:r>
        <w:rPr>
          <w:rFonts w:ascii="Sylfaen" w:hAnsi="Sylfaen"/>
          <w:szCs w:val="20"/>
          <w:lang w:val="ka-GE"/>
        </w:rPr>
        <w:t>მიზნით,</w:t>
      </w:r>
      <w:r w:rsidRPr="000808FA">
        <w:rPr>
          <w:rFonts w:ascii="Sylfaen" w:hAnsi="Sylfaen"/>
          <w:szCs w:val="20"/>
          <w:lang w:val="en-US"/>
        </w:rPr>
        <w:t xml:space="preserve"> </w:t>
      </w:r>
      <w:proofErr w:type="spellStart"/>
      <w:r w:rsidRPr="000808FA">
        <w:rPr>
          <w:rFonts w:ascii="Sylfaen" w:hAnsi="Sylfaen"/>
          <w:szCs w:val="20"/>
          <w:lang w:val="en-US"/>
        </w:rPr>
        <w:t>ასევე</w:t>
      </w:r>
      <w:proofErr w:type="spellEnd"/>
      <w:r>
        <w:rPr>
          <w:rFonts w:ascii="Sylfaen" w:hAnsi="Sylfaen"/>
          <w:szCs w:val="20"/>
          <w:lang w:val="ka-GE"/>
        </w:rPr>
        <w:t xml:space="preserve"> ადგენს </w:t>
      </w:r>
      <w:proofErr w:type="spellStart"/>
      <w:r w:rsidRPr="000808FA">
        <w:rPr>
          <w:rFonts w:ascii="Sylfaen" w:hAnsi="Sylfaen"/>
          <w:szCs w:val="20"/>
          <w:lang w:val="en-US"/>
        </w:rPr>
        <w:t>გადაწყვეტილების</w:t>
      </w:r>
      <w:proofErr w:type="spellEnd"/>
      <w:r w:rsidRPr="000808FA">
        <w:rPr>
          <w:rFonts w:ascii="Sylfaen" w:hAnsi="Sylfaen"/>
          <w:szCs w:val="20"/>
          <w:lang w:val="en-US"/>
        </w:rPr>
        <w:t xml:space="preserve"> </w:t>
      </w:r>
      <w:proofErr w:type="spellStart"/>
      <w:r w:rsidRPr="000808FA">
        <w:rPr>
          <w:rFonts w:ascii="Sylfaen" w:hAnsi="Sylfaen"/>
          <w:szCs w:val="20"/>
          <w:lang w:val="en-US"/>
        </w:rPr>
        <w:t>მიღების</w:t>
      </w:r>
      <w:proofErr w:type="spellEnd"/>
      <w:r w:rsidRPr="000808FA">
        <w:rPr>
          <w:rFonts w:ascii="Sylfaen" w:hAnsi="Sylfaen"/>
          <w:szCs w:val="20"/>
          <w:lang w:val="en-US"/>
        </w:rPr>
        <w:t xml:space="preserve"> და </w:t>
      </w:r>
      <w:proofErr w:type="spellStart"/>
      <w:r w:rsidRPr="000808FA">
        <w:rPr>
          <w:rFonts w:ascii="Sylfaen" w:hAnsi="Sylfaen"/>
          <w:szCs w:val="20"/>
          <w:lang w:val="en-US"/>
        </w:rPr>
        <w:t>მისი</w:t>
      </w:r>
      <w:proofErr w:type="spellEnd"/>
      <w:r w:rsidRPr="000808FA">
        <w:rPr>
          <w:rFonts w:ascii="Sylfaen" w:hAnsi="Sylfaen"/>
          <w:szCs w:val="20"/>
          <w:lang w:val="en-US"/>
        </w:rPr>
        <w:t xml:space="preserve"> </w:t>
      </w:r>
      <w:proofErr w:type="spellStart"/>
      <w:r w:rsidRPr="000808FA">
        <w:rPr>
          <w:rFonts w:ascii="Sylfaen" w:hAnsi="Sylfaen"/>
          <w:szCs w:val="20"/>
          <w:lang w:val="en-US"/>
        </w:rPr>
        <w:t>გამოქვეყნების</w:t>
      </w:r>
      <w:proofErr w:type="spellEnd"/>
      <w:r w:rsidRPr="000808FA">
        <w:rPr>
          <w:rFonts w:ascii="Sylfaen" w:hAnsi="Sylfaen"/>
          <w:szCs w:val="20"/>
          <w:lang w:val="en-US"/>
        </w:rPr>
        <w:t xml:space="preserve"> </w:t>
      </w:r>
      <w:proofErr w:type="spellStart"/>
      <w:r w:rsidRPr="000808FA">
        <w:rPr>
          <w:rFonts w:ascii="Sylfaen" w:hAnsi="Sylfaen"/>
          <w:szCs w:val="20"/>
          <w:lang w:val="en-US"/>
        </w:rPr>
        <w:t>წეს</w:t>
      </w:r>
      <w:proofErr w:type="spellEnd"/>
      <w:r>
        <w:rPr>
          <w:rFonts w:ascii="Sylfaen" w:hAnsi="Sylfaen"/>
          <w:szCs w:val="20"/>
          <w:lang w:val="ka-GE"/>
        </w:rPr>
        <w:t>ს და</w:t>
      </w:r>
      <w:r w:rsidRPr="000808FA">
        <w:rPr>
          <w:rFonts w:ascii="Sylfaen" w:hAnsi="Sylfaen"/>
          <w:szCs w:val="20"/>
          <w:lang w:val="en-US"/>
        </w:rPr>
        <w:t xml:space="preserve"> </w:t>
      </w:r>
      <w:proofErr w:type="spellStart"/>
      <w:r w:rsidRPr="000808FA">
        <w:rPr>
          <w:rFonts w:ascii="Sylfaen" w:hAnsi="Sylfaen"/>
          <w:szCs w:val="20"/>
          <w:lang w:val="en-US"/>
        </w:rPr>
        <w:t>სანქციებ</w:t>
      </w:r>
      <w:proofErr w:type="spellEnd"/>
      <w:r>
        <w:rPr>
          <w:rFonts w:ascii="Sylfaen" w:hAnsi="Sylfaen"/>
          <w:szCs w:val="20"/>
          <w:lang w:val="ka-GE"/>
        </w:rPr>
        <w:t xml:space="preserve">ს </w:t>
      </w:r>
      <w:proofErr w:type="spellStart"/>
      <w:r w:rsidRPr="000808FA">
        <w:rPr>
          <w:rFonts w:ascii="Sylfaen" w:hAnsi="Sylfaen"/>
          <w:szCs w:val="20"/>
          <w:lang w:val="en-US"/>
        </w:rPr>
        <w:t>კანონის</w:t>
      </w:r>
      <w:proofErr w:type="spellEnd"/>
      <w:r w:rsidRPr="000808FA">
        <w:rPr>
          <w:rFonts w:ascii="Sylfaen" w:hAnsi="Sylfaen"/>
          <w:szCs w:val="20"/>
          <w:lang w:val="en-US"/>
        </w:rPr>
        <w:t xml:space="preserve"> </w:t>
      </w:r>
      <w:proofErr w:type="spellStart"/>
      <w:r w:rsidRPr="000808FA">
        <w:rPr>
          <w:rFonts w:ascii="Sylfaen" w:hAnsi="Sylfaen"/>
          <w:szCs w:val="20"/>
          <w:lang w:val="en-US"/>
        </w:rPr>
        <w:t>დარღვევისთვის</w:t>
      </w:r>
      <w:proofErr w:type="spellEnd"/>
      <w:r>
        <w:rPr>
          <w:rFonts w:ascii="Sylfaen" w:hAnsi="Sylfaen"/>
          <w:szCs w:val="20"/>
          <w:lang w:val="ka-GE"/>
        </w:rPr>
        <w:t>.</w:t>
      </w:r>
    </w:p>
    <w:p w14:paraId="65B7C65D" w14:textId="7653E8AF" w:rsidR="006F2E3E" w:rsidRPr="005837E3" w:rsidRDefault="006F2E3E" w:rsidP="00096041">
      <w:pPr>
        <w:pStyle w:val="ListParagraph"/>
        <w:numPr>
          <w:ilvl w:val="0"/>
          <w:numId w:val="14"/>
        </w:numPr>
        <w:jc w:val="both"/>
        <w:rPr>
          <w:rFonts w:ascii="Sylfaen" w:hAnsi="Sylfaen"/>
          <w:b/>
          <w:bCs/>
          <w:szCs w:val="20"/>
          <w:lang w:val="en-US"/>
        </w:rPr>
      </w:pPr>
      <w:r w:rsidRPr="005837E3">
        <w:rPr>
          <w:rFonts w:ascii="Sylfaen" w:hAnsi="Sylfaen"/>
          <w:b/>
          <w:bCs/>
          <w:szCs w:val="20"/>
          <w:lang w:val="ka-GE"/>
        </w:rPr>
        <w:t>მტკიცების ტვირთი</w:t>
      </w:r>
    </w:p>
    <w:p w14:paraId="0AAEB4C9" w14:textId="77777777" w:rsidR="003F12C5" w:rsidRDefault="005837E3" w:rsidP="003F12C5">
      <w:pPr>
        <w:jc w:val="both"/>
        <w:rPr>
          <w:rFonts w:ascii="Sylfaen" w:hAnsi="Sylfaen"/>
          <w:szCs w:val="20"/>
          <w:lang w:val="ka-GE"/>
        </w:rPr>
      </w:pPr>
      <w:r>
        <w:rPr>
          <w:rFonts w:ascii="Sylfaen" w:hAnsi="Sylfaen"/>
          <w:szCs w:val="20"/>
          <w:lang w:val="ka-GE"/>
        </w:rPr>
        <w:t xml:space="preserve">ხელშეკრულების სტანდარტულ პირობებთან დაკავშირებით კანონი ადგენს, რომ მტკიცების ტვირთი ამა თუ იმ პირობის თაობაზე </w:t>
      </w:r>
      <w:r>
        <w:rPr>
          <w:rFonts w:ascii="Sylfaen" w:hAnsi="Sylfaen"/>
          <w:szCs w:val="20"/>
          <w:lang w:val="ka-GE"/>
        </w:rPr>
        <w:t xml:space="preserve">ინდივიდუალური მოლაპარაკებების გამართვის შესახებ ეკისრება მოვაჭრეს. </w:t>
      </w:r>
    </w:p>
    <w:p w14:paraId="38F93D40" w14:textId="08DC68D7" w:rsidR="003F12C5" w:rsidRPr="000808FA" w:rsidRDefault="003F12C5" w:rsidP="003F12C5">
      <w:pPr>
        <w:jc w:val="both"/>
        <w:rPr>
          <w:rFonts w:ascii="Sylfaen" w:hAnsi="Sylfaen"/>
          <w:szCs w:val="20"/>
          <w:lang w:val="ka-GE"/>
        </w:rPr>
      </w:pPr>
      <w:r>
        <w:rPr>
          <w:rFonts w:ascii="Sylfaen" w:hAnsi="Sylfaen"/>
          <w:szCs w:val="20"/>
          <w:lang w:val="ka-GE"/>
        </w:rPr>
        <w:t xml:space="preserve">მტკიცების ტვირთი მოვაჭრეს ეკისრება იმ შემთხვევებში, როდესაც მომხმარებელი სათანადო დასაბუთებით შეძლებს მიუთითოს მის წინააღმდეგ დისკრიმინაციული მიდგომის განხორციელების შესახებ. ასევე პროდუქტის წუნდებასთან დაკავშირებით მომხმარებლის მიერ საქონლის შეძენიდან 6 თვის ვადაში პრეტენზიის განაცხადების შემთხვევაში, </w:t>
      </w:r>
      <w:r w:rsidRPr="003F12C5">
        <w:rPr>
          <w:rFonts w:ascii="Sylfaen" w:hAnsi="Sylfaen"/>
          <w:szCs w:val="20"/>
          <w:lang w:val="ka-GE"/>
        </w:rPr>
        <w:t>საწინააღმდეგოს დამტკიცებამდე იგულისხმება, რომ ნაკლი არსებობდა საქონლის მიწოდებისას</w:t>
      </w:r>
      <w:r>
        <w:rPr>
          <w:rFonts w:ascii="Sylfaen" w:hAnsi="Sylfaen"/>
          <w:szCs w:val="20"/>
          <w:lang w:val="ka-GE"/>
        </w:rPr>
        <w:t>. საწინააღმდეგო უნდა დაამტკიცოს მოვაჭრემ.</w:t>
      </w:r>
    </w:p>
    <w:p w14:paraId="0C126E39" w14:textId="4D4B2283" w:rsidR="005837E3" w:rsidRPr="00BA07D7" w:rsidRDefault="003F12C5" w:rsidP="003F12C5">
      <w:pPr>
        <w:pStyle w:val="ListParagraph"/>
        <w:numPr>
          <w:ilvl w:val="0"/>
          <w:numId w:val="14"/>
        </w:numPr>
        <w:jc w:val="both"/>
        <w:rPr>
          <w:rFonts w:ascii="Sylfaen" w:hAnsi="Sylfaen"/>
          <w:b/>
          <w:bCs/>
          <w:szCs w:val="20"/>
          <w:lang w:val="en-US"/>
        </w:rPr>
      </w:pPr>
      <w:r w:rsidRPr="003F12C5">
        <w:rPr>
          <w:rFonts w:ascii="Sylfaen" w:hAnsi="Sylfaen"/>
          <w:b/>
          <w:bCs/>
          <w:szCs w:val="20"/>
          <w:lang w:val="ka-GE"/>
        </w:rPr>
        <w:t>კანონის ამოქმედება</w:t>
      </w:r>
      <w:r w:rsidR="00BA07D7">
        <w:rPr>
          <w:rFonts w:ascii="Sylfaen" w:hAnsi="Sylfaen"/>
          <w:b/>
          <w:bCs/>
          <w:szCs w:val="20"/>
          <w:lang w:val="ka-GE"/>
        </w:rPr>
        <w:t>სთან დაკავშირებული საკითხები</w:t>
      </w:r>
    </w:p>
    <w:p w14:paraId="64169AC6" w14:textId="5677DB92" w:rsidR="00BA07D7" w:rsidRDefault="00BA07D7" w:rsidP="00BA07D7">
      <w:pPr>
        <w:jc w:val="both"/>
        <w:rPr>
          <w:rFonts w:ascii="Sylfaen" w:hAnsi="Sylfaen"/>
          <w:szCs w:val="20"/>
          <w:lang w:val="ka-GE"/>
        </w:rPr>
      </w:pPr>
      <w:r>
        <w:rPr>
          <w:rFonts w:ascii="Sylfaen" w:hAnsi="Sylfaen"/>
          <w:szCs w:val="20"/>
          <w:lang w:val="ka-GE"/>
        </w:rPr>
        <w:t>კანონის ძირითადი ტექსტის ამოქმედება გათვალისწინებულია 2022 წლის 1 ივნისიდან, ხოლო მომხმარებლის უფლებების დაცვის ინსტიტუციურ გარანტიებთან დაკავშირებული დებულებები ამოქმედდება 2022 წლის 1 ნოემბრიდან.</w:t>
      </w:r>
    </w:p>
    <w:p w14:paraId="4F2F6407" w14:textId="051C568C" w:rsidR="00BA07D7" w:rsidRPr="00BA07D7" w:rsidRDefault="00BA07D7" w:rsidP="00BA07D7">
      <w:pPr>
        <w:jc w:val="both"/>
        <w:rPr>
          <w:rFonts w:ascii="Sylfaen" w:hAnsi="Sylfaen"/>
          <w:szCs w:val="20"/>
          <w:lang w:val="ka-GE"/>
        </w:rPr>
      </w:pPr>
      <w:r>
        <w:rPr>
          <w:rFonts w:ascii="Sylfaen" w:hAnsi="Sylfaen"/>
          <w:szCs w:val="20"/>
          <w:lang w:val="ka-GE"/>
        </w:rPr>
        <w:t>კანონის ამოქმედებასთან ერთად შესაბამისი ცვლილებები ძალაში შევა საქართველოს სამოქალაქო კოდექსში, კონკურენციის შესახებ კანონში, რეკლამის შესახებ კანონში, ასევე ადმინისტრაციულ საპროცესო კოდექსში.</w:t>
      </w:r>
    </w:p>
    <w:p w14:paraId="0F5C2FCE" w14:textId="77777777" w:rsidR="0013035A" w:rsidRDefault="0013035A" w:rsidP="0013035A">
      <w:pPr>
        <w:jc w:val="both"/>
        <w:rPr>
          <w:rFonts w:ascii="Sylfaen" w:hAnsi="Sylfaen"/>
          <w:sz w:val="22"/>
          <w:szCs w:val="21"/>
          <w:lang w:val="ka-GE"/>
        </w:rPr>
      </w:pPr>
    </w:p>
    <w:p w14:paraId="071F7201" w14:textId="2747FA5B" w:rsidR="00096041" w:rsidRPr="00096041" w:rsidRDefault="00096041" w:rsidP="00096041">
      <w:pPr>
        <w:pStyle w:val="ListParagraph"/>
        <w:numPr>
          <w:ilvl w:val="0"/>
          <w:numId w:val="13"/>
        </w:numPr>
        <w:jc w:val="both"/>
        <w:rPr>
          <w:rFonts w:ascii="Sylfaen" w:hAnsi="Sylfaen"/>
          <w:sz w:val="22"/>
          <w:szCs w:val="21"/>
          <w:lang w:val="ka-GE"/>
        </w:rPr>
        <w:sectPr w:rsidR="00096041" w:rsidRPr="00096041" w:rsidSect="0049341F">
          <w:type w:val="continuous"/>
          <w:pgSz w:w="11906" w:h="16838"/>
          <w:pgMar w:top="720" w:right="720" w:bottom="720" w:left="720" w:header="708" w:footer="708" w:gutter="0"/>
          <w:cols w:num="2" w:space="708"/>
          <w:docGrid w:linePitch="360"/>
        </w:sectPr>
      </w:pPr>
    </w:p>
    <w:p w14:paraId="5C653A52" w14:textId="77777777" w:rsidR="0049341F" w:rsidRPr="00584303" w:rsidRDefault="0049341F" w:rsidP="0049341F">
      <w:pPr>
        <w:spacing w:after="0" w:line="240" w:lineRule="auto"/>
        <w:rPr>
          <w:rFonts w:ascii="Sylfaen" w:hAnsi="Sylfaen"/>
          <w:sz w:val="21"/>
          <w:szCs w:val="21"/>
          <w:lang w:val="ka-GE"/>
        </w:rPr>
      </w:pPr>
    </w:p>
    <w:p w14:paraId="327B5134" w14:textId="77777777" w:rsidR="0049341F" w:rsidRPr="002E61A5" w:rsidRDefault="0049341F" w:rsidP="0049341F">
      <w:pPr>
        <w:spacing w:after="0" w:line="240" w:lineRule="auto"/>
        <w:rPr>
          <w:rFonts w:ascii="Arial Nova Light" w:hAnsi="Arial Nova Light"/>
          <w:sz w:val="21"/>
          <w:szCs w:val="21"/>
          <w:lang w:val="ka-GE"/>
        </w:rPr>
      </w:pPr>
    </w:p>
    <w:tbl>
      <w:tblPr>
        <w:tblStyle w:val="TableGrid"/>
        <w:tblpPr w:leftFromText="180" w:rightFromText="180" w:vertAnchor="text" w:horzAnchor="margin" w:tblpY="41"/>
        <w:tblW w:w="0" w:type="auto"/>
        <w:tblLook w:val="04A0" w:firstRow="1" w:lastRow="0" w:firstColumn="1" w:lastColumn="0" w:noHBand="0" w:noVBand="1"/>
      </w:tblPr>
      <w:tblGrid>
        <w:gridCol w:w="10456"/>
      </w:tblGrid>
      <w:tr w:rsidR="001D134D" w14:paraId="50C85F55" w14:textId="77777777" w:rsidTr="001D134D">
        <w:tc>
          <w:tcPr>
            <w:tcW w:w="10456" w:type="dxa"/>
            <w:tcBorders>
              <w:top w:val="nil"/>
              <w:left w:val="nil"/>
              <w:bottom w:val="nil"/>
              <w:right w:val="nil"/>
            </w:tcBorders>
            <w:shd w:val="clear" w:color="auto" w:fill="000000" w:themeFill="text1"/>
          </w:tcPr>
          <w:p w14:paraId="3FE70392" w14:textId="77777777" w:rsidR="001D134D" w:rsidRPr="0049341F" w:rsidRDefault="001D134D" w:rsidP="001D134D">
            <w:pPr>
              <w:rPr>
                <w:rFonts w:cs="Arial"/>
                <w:b/>
                <w:color w:val="C9EC51"/>
                <w:sz w:val="21"/>
                <w:szCs w:val="21"/>
              </w:rPr>
            </w:pPr>
            <w:r w:rsidRPr="0049341F">
              <w:rPr>
                <w:rFonts w:cs="Arial"/>
                <w:b/>
                <w:color w:val="C9EC51"/>
                <w:sz w:val="21"/>
                <w:szCs w:val="21"/>
              </w:rPr>
              <w:t>Contact information</w:t>
            </w:r>
          </w:p>
          <w:p w14:paraId="1C80BD0D" w14:textId="77777777" w:rsidR="001D134D" w:rsidRPr="0049341F" w:rsidRDefault="001D134D" w:rsidP="001D134D">
            <w:pPr>
              <w:rPr>
                <w:rFonts w:ascii="Arial Nova Light" w:hAnsi="Arial Nova Light"/>
                <w:color w:val="FFFFFF" w:themeColor="background1"/>
                <w:sz w:val="21"/>
                <w:szCs w:val="21"/>
              </w:rPr>
            </w:pPr>
          </w:p>
          <w:p w14:paraId="11E15A5E" w14:textId="599C1677" w:rsidR="001D134D" w:rsidRPr="002E61A5" w:rsidRDefault="002E61A5" w:rsidP="001D134D">
            <w:pPr>
              <w:rPr>
                <w:rFonts w:ascii="Sylfaen" w:hAnsi="Sylfaen"/>
                <w:color w:val="FFFFFF" w:themeColor="background1"/>
                <w:sz w:val="21"/>
                <w:szCs w:val="21"/>
                <w:lang w:val="en-US"/>
              </w:rPr>
            </w:pPr>
            <w:proofErr w:type="spellStart"/>
            <w:r>
              <w:rPr>
                <w:rFonts w:ascii="Arial Nova Light" w:hAnsi="Arial Nova Light"/>
                <w:color w:val="FFFFFF" w:themeColor="background1"/>
                <w:sz w:val="21"/>
                <w:szCs w:val="21"/>
              </w:rPr>
              <w:t>B</w:t>
            </w:r>
            <w:r w:rsidR="00B03003">
              <w:rPr>
                <w:rFonts w:ascii="Arial Nova Light" w:hAnsi="Arial Nova Light"/>
                <w:color w:val="FFFFFF" w:themeColor="background1"/>
                <w:sz w:val="21"/>
                <w:szCs w:val="21"/>
              </w:rPr>
              <w:t>akertilly</w:t>
            </w:r>
            <w:proofErr w:type="spellEnd"/>
            <w:r w:rsidR="00B03003">
              <w:rPr>
                <w:rFonts w:ascii="Arial Nova Light" w:hAnsi="Arial Nova Light"/>
                <w:color w:val="FFFFFF" w:themeColor="background1"/>
                <w:sz w:val="21"/>
                <w:szCs w:val="21"/>
              </w:rPr>
              <w:t xml:space="preserve"> </w:t>
            </w:r>
            <w:r>
              <w:rPr>
                <w:rFonts w:ascii="Arial Nova Light" w:hAnsi="Arial Nova Light"/>
                <w:color w:val="FFFFFF" w:themeColor="background1"/>
                <w:sz w:val="21"/>
                <w:szCs w:val="21"/>
                <w:lang w:val="en-US"/>
              </w:rPr>
              <w:t>Georgia</w:t>
            </w:r>
          </w:p>
          <w:p w14:paraId="0D5475EF" w14:textId="77777777" w:rsidR="001D134D" w:rsidRPr="0049341F" w:rsidRDefault="00B03003" w:rsidP="001D134D">
            <w:pPr>
              <w:rPr>
                <w:rFonts w:ascii="Arial Nova Light" w:hAnsi="Arial Nova Light"/>
                <w:color w:val="FFFFFF" w:themeColor="background1"/>
                <w:sz w:val="21"/>
                <w:szCs w:val="21"/>
              </w:rPr>
            </w:pPr>
            <w:r>
              <w:rPr>
                <w:rFonts w:ascii="Arial Nova Light" w:hAnsi="Arial Nova Light"/>
                <w:color w:val="FFFFFF" w:themeColor="background1"/>
                <w:sz w:val="21"/>
                <w:szCs w:val="21"/>
              </w:rPr>
              <w:t xml:space="preserve">7 </w:t>
            </w:r>
            <w:proofErr w:type="spellStart"/>
            <w:r>
              <w:rPr>
                <w:rFonts w:ascii="Arial Nova Light" w:hAnsi="Arial Nova Light"/>
                <w:color w:val="FFFFFF" w:themeColor="background1"/>
                <w:sz w:val="21"/>
                <w:szCs w:val="21"/>
              </w:rPr>
              <w:t>Bambis</w:t>
            </w:r>
            <w:proofErr w:type="spellEnd"/>
            <w:r>
              <w:rPr>
                <w:rFonts w:ascii="Arial Nova Light" w:hAnsi="Arial Nova Light"/>
                <w:color w:val="FFFFFF" w:themeColor="background1"/>
                <w:sz w:val="21"/>
                <w:szCs w:val="21"/>
              </w:rPr>
              <w:t xml:space="preserve"> </w:t>
            </w:r>
            <w:proofErr w:type="spellStart"/>
            <w:r>
              <w:rPr>
                <w:rFonts w:ascii="Arial Nova Light" w:hAnsi="Arial Nova Light"/>
                <w:color w:val="FFFFFF" w:themeColor="background1"/>
                <w:sz w:val="21"/>
                <w:szCs w:val="21"/>
              </w:rPr>
              <w:t>Rigi</w:t>
            </w:r>
            <w:proofErr w:type="spellEnd"/>
            <w:r>
              <w:rPr>
                <w:rFonts w:ascii="Arial Nova Light" w:hAnsi="Arial Nova Light"/>
                <w:color w:val="FFFFFF" w:themeColor="background1"/>
                <w:sz w:val="21"/>
                <w:szCs w:val="21"/>
              </w:rPr>
              <w:t xml:space="preserve">, </w:t>
            </w:r>
            <w:r w:rsidR="001D134D" w:rsidRPr="0049341F">
              <w:rPr>
                <w:rFonts w:ascii="Arial Nova Light" w:hAnsi="Arial Nova Light"/>
                <w:color w:val="FFFFFF" w:themeColor="background1"/>
                <w:sz w:val="21"/>
                <w:szCs w:val="21"/>
              </w:rPr>
              <w:t>0105, Tbilisi.</w:t>
            </w:r>
          </w:p>
          <w:p w14:paraId="7C3D049F" w14:textId="77777777" w:rsidR="001D134D" w:rsidRDefault="00B03003" w:rsidP="001D134D">
            <w:pPr>
              <w:rPr>
                <w:rFonts w:ascii="Arial Nova Light" w:hAnsi="Arial Nova Light"/>
                <w:color w:val="FFFFFF" w:themeColor="background1"/>
                <w:sz w:val="21"/>
                <w:szCs w:val="21"/>
              </w:rPr>
            </w:pPr>
            <w:r>
              <w:rPr>
                <w:rFonts w:ascii="Arial Nova Light" w:hAnsi="Arial Nova Light"/>
                <w:color w:val="FFFFFF" w:themeColor="background1"/>
                <w:sz w:val="21"/>
                <w:szCs w:val="21"/>
              </w:rPr>
              <w:t>(+</w:t>
            </w:r>
            <w:r w:rsidR="001D134D" w:rsidRPr="0049341F">
              <w:rPr>
                <w:rFonts w:ascii="Arial Nova Light" w:hAnsi="Arial Nova Light"/>
                <w:color w:val="FFFFFF" w:themeColor="background1"/>
                <w:sz w:val="21"/>
                <w:szCs w:val="21"/>
              </w:rPr>
              <w:t>995 32) 2438 999</w:t>
            </w:r>
          </w:p>
          <w:p w14:paraId="4BE74DCF" w14:textId="77777777" w:rsidR="001D134D" w:rsidRPr="0049341F" w:rsidRDefault="001D134D" w:rsidP="001D134D">
            <w:pPr>
              <w:rPr>
                <w:rFonts w:ascii="Arial Nova Light" w:hAnsi="Arial Nova Light"/>
                <w:color w:val="FFFFFF" w:themeColor="background1"/>
                <w:sz w:val="21"/>
                <w:szCs w:val="21"/>
              </w:rPr>
            </w:pPr>
          </w:p>
          <w:p w14:paraId="03A0D665" w14:textId="77777777" w:rsidR="001D134D" w:rsidRPr="0049341F" w:rsidRDefault="001D134D" w:rsidP="001D134D">
            <w:pPr>
              <w:rPr>
                <w:rFonts w:ascii="Arial Nova Light" w:hAnsi="Arial Nova Light"/>
                <w:color w:val="FFFFFF" w:themeColor="background1"/>
                <w:sz w:val="21"/>
                <w:szCs w:val="21"/>
              </w:rPr>
            </w:pPr>
            <w:r w:rsidRPr="0049341F">
              <w:rPr>
                <w:rFonts w:ascii="Arial Nova Light" w:hAnsi="Arial Nova Light"/>
                <w:color w:val="FFFFFF" w:themeColor="background1"/>
                <w:sz w:val="21"/>
                <w:szCs w:val="21"/>
              </w:rPr>
              <w:t>office@bakertilly.ge</w:t>
            </w:r>
          </w:p>
          <w:p w14:paraId="4C4D8C26" w14:textId="77777777" w:rsidR="001D134D" w:rsidRPr="0049341F" w:rsidRDefault="001D134D" w:rsidP="001D134D">
            <w:pPr>
              <w:rPr>
                <w:rFonts w:ascii="Arial Nova Light" w:hAnsi="Arial Nova Light"/>
                <w:color w:val="FFFFFF" w:themeColor="background1"/>
                <w:sz w:val="21"/>
                <w:szCs w:val="21"/>
              </w:rPr>
            </w:pPr>
            <w:r w:rsidRPr="0049341F">
              <w:rPr>
                <w:rFonts w:ascii="Arial Nova Light" w:hAnsi="Arial Nova Light"/>
                <w:color w:val="FFFFFF" w:themeColor="background1"/>
                <w:sz w:val="21"/>
                <w:szCs w:val="21"/>
              </w:rPr>
              <w:t>www.bakertilly.ge</w:t>
            </w:r>
          </w:p>
          <w:p w14:paraId="56067521" w14:textId="77777777" w:rsidR="001D134D" w:rsidRPr="0049341F" w:rsidRDefault="001D134D" w:rsidP="001D134D">
            <w:pPr>
              <w:rPr>
                <w:rFonts w:ascii="Arial Nova Light" w:hAnsi="Arial Nova Light"/>
                <w:color w:val="C9EC51"/>
                <w:sz w:val="21"/>
                <w:szCs w:val="21"/>
              </w:rPr>
            </w:pPr>
          </w:p>
        </w:tc>
      </w:tr>
    </w:tbl>
    <w:p w14:paraId="31FE32BF" w14:textId="77777777" w:rsidR="001D134D" w:rsidRDefault="001D134D" w:rsidP="0049341F">
      <w:pPr>
        <w:spacing w:after="0" w:line="240" w:lineRule="auto"/>
        <w:rPr>
          <w:rFonts w:ascii="Arial Nova Light" w:hAnsi="Arial Nova Light"/>
          <w:sz w:val="21"/>
          <w:szCs w:val="21"/>
        </w:rPr>
      </w:pPr>
    </w:p>
    <w:p w14:paraId="7FED8E51" w14:textId="77777777" w:rsidR="0049341F" w:rsidRPr="001D134D" w:rsidRDefault="0049341F" w:rsidP="0049341F">
      <w:pPr>
        <w:spacing w:after="0" w:line="240" w:lineRule="auto"/>
        <w:rPr>
          <w:rFonts w:ascii="Arial Nova Light" w:hAnsi="Arial Nova Light"/>
          <w:sz w:val="18"/>
          <w:szCs w:val="21"/>
        </w:rPr>
      </w:pPr>
      <w:r w:rsidRPr="001D134D">
        <w:rPr>
          <w:rFonts w:ascii="Arial Nova Light" w:hAnsi="Arial Nova Light"/>
          <w:sz w:val="18"/>
          <w:szCs w:val="21"/>
        </w:rPr>
        <w:t>This newsletter contains information about Legal, Tax and court practice latest updates. Every effort is made to provide accurate and complete information. However, Baker Tilly Georgia cannot guarantee that there will be no errors. These informational materials are not intended, and should not be taken, as legal or tax advice on any particular set of facts or circumstances. Please, contact our professionals for specific Tax or Legal issues.</w:t>
      </w:r>
    </w:p>
    <w:p w14:paraId="5779BDD3" w14:textId="77777777" w:rsidR="0049341F" w:rsidRPr="001D134D" w:rsidRDefault="0049341F" w:rsidP="0049341F">
      <w:pPr>
        <w:spacing w:after="0" w:line="240" w:lineRule="auto"/>
        <w:rPr>
          <w:rFonts w:ascii="Arial Nova Light" w:hAnsi="Arial Nova Light"/>
          <w:sz w:val="18"/>
          <w:szCs w:val="21"/>
        </w:rPr>
      </w:pPr>
    </w:p>
    <w:p w14:paraId="74741FFD" w14:textId="77777777" w:rsidR="0049341F" w:rsidRPr="001D134D" w:rsidRDefault="001D134D" w:rsidP="001D134D">
      <w:pPr>
        <w:spacing w:after="0" w:line="240" w:lineRule="auto"/>
        <w:rPr>
          <w:rFonts w:ascii="Arial Nova Light" w:hAnsi="Arial Nova Light"/>
          <w:sz w:val="18"/>
          <w:szCs w:val="21"/>
        </w:rPr>
      </w:pPr>
      <w:r w:rsidRPr="001D134D">
        <w:rPr>
          <w:rFonts w:ascii="Arial Nova Light" w:hAnsi="Arial Nova Light"/>
          <w:sz w:val="18"/>
          <w:szCs w:val="21"/>
        </w:rPr>
        <w:t>Baker Tilly Georgia Ltd trading as Baker Tilly is a member of the global network of Baker Tilly International Ltd., the members of which are separate and independent legal entities.</w:t>
      </w:r>
    </w:p>
    <w:sectPr w:rsidR="0049341F" w:rsidRPr="001D134D" w:rsidSect="0049341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AF3C8" w14:textId="77777777" w:rsidR="00306172" w:rsidRDefault="00306172" w:rsidP="00197CF7">
      <w:pPr>
        <w:spacing w:after="0" w:line="240" w:lineRule="auto"/>
      </w:pPr>
      <w:r>
        <w:separator/>
      </w:r>
    </w:p>
  </w:endnote>
  <w:endnote w:type="continuationSeparator" w:id="0">
    <w:p w14:paraId="08D6374B" w14:textId="77777777" w:rsidR="00306172" w:rsidRDefault="00306172" w:rsidP="00197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roma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Arial Nova Light">
    <w:altName w:val="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F69B9" w14:textId="77777777" w:rsidR="00306172" w:rsidRDefault="00306172" w:rsidP="00197CF7">
      <w:pPr>
        <w:spacing w:after="0" w:line="240" w:lineRule="auto"/>
      </w:pPr>
      <w:r>
        <w:separator/>
      </w:r>
    </w:p>
  </w:footnote>
  <w:footnote w:type="continuationSeparator" w:id="0">
    <w:p w14:paraId="7D3334AE" w14:textId="77777777" w:rsidR="00306172" w:rsidRDefault="00306172" w:rsidP="00197C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4A26"/>
    <w:multiLevelType w:val="hybridMultilevel"/>
    <w:tmpl w:val="8E6063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DD1518"/>
    <w:multiLevelType w:val="hybridMultilevel"/>
    <w:tmpl w:val="B6520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D471E7"/>
    <w:multiLevelType w:val="hybridMultilevel"/>
    <w:tmpl w:val="1D26850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676A5A"/>
    <w:multiLevelType w:val="hybridMultilevel"/>
    <w:tmpl w:val="835CD5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AD1BD9"/>
    <w:multiLevelType w:val="hybridMultilevel"/>
    <w:tmpl w:val="1318F6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2D75A5"/>
    <w:multiLevelType w:val="hybridMultilevel"/>
    <w:tmpl w:val="058AF1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C76CEE"/>
    <w:multiLevelType w:val="hybridMultilevel"/>
    <w:tmpl w:val="507A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163F42"/>
    <w:multiLevelType w:val="hybridMultilevel"/>
    <w:tmpl w:val="0BD086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256980"/>
    <w:multiLevelType w:val="hybridMultilevel"/>
    <w:tmpl w:val="DC60D53E"/>
    <w:lvl w:ilvl="0" w:tplc="0409000B">
      <w:start w:val="1"/>
      <w:numFmt w:val="bullet"/>
      <w:lvlText w:val=""/>
      <w:lvlJc w:val="left"/>
      <w:pPr>
        <w:ind w:left="765" w:hanging="360"/>
      </w:pPr>
      <w:rPr>
        <w:rFonts w:ascii="Wingdings" w:hAnsi="Wingdings"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4AA73C1A"/>
    <w:multiLevelType w:val="hybridMultilevel"/>
    <w:tmpl w:val="E842E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9C384A"/>
    <w:multiLevelType w:val="hybridMultilevel"/>
    <w:tmpl w:val="377861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533249"/>
    <w:multiLevelType w:val="hybridMultilevel"/>
    <w:tmpl w:val="A1B2B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2A69FE"/>
    <w:multiLevelType w:val="hybridMultilevel"/>
    <w:tmpl w:val="EFAC554A"/>
    <w:lvl w:ilvl="0" w:tplc="04090001">
      <w:start w:val="1"/>
      <w:numFmt w:val="bullet"/>
      <w:lvlText w:val=""/>
      <w:lvlJc w:val="left"/>
      <w:pPr>
        <w:ind w:left="825" w:hanging="360"/>
      </w:pPr>
      <w:rPr>
        <w:rFonts w:ascii="Symbol" w:hAnsi="Symbol" w:cs="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cs="Wingdings" w:hint="default"/>
      </w:rPr>
    </w:lvl>
    <w:lvl w:ilvl="3" w:tplc="04090001" w:tentative="1">
      <w:start w:val="1"/>
      <w:numFmt w:val="bullet"/>
      <w:lvlText w:val=""/>
      <w:lvlJc w:val="left"/>
      <w:pPr>
        <w:ind w:left="2985" w:hanging="360"/>
      </w:pPr>
      <w:rPr>
        <w:rFonts w:ascii="Symbol" w:hAnsi="Symbol" w:cs="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cs="Wingdings" w:hint="default"/>
      </w:rPr>
    </w:lvl>
    <w:lvl w:ilvl="6" w:tplc="04090001" w:tentative="1">
      <w:start w:val="1"/>
      <w:numFmt w:val="bullet"/>
      <w:lvlText w:val=""/>
      <w:lvlJc w:val="left"/>
      <w:pPr>
        <w:ind w:left="5145" w:hanging="360"/>
      </w:pPr>
      <w:rPr>
        <w:rFonts w:ascii="Symbol" w:hAnsi="Symbol" w:cs="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cs="Wingdings" w:hint="default"/>
      </w:rPr>
    </w:lvl>
  </w:abstractNum>
  <w:abstractNum w:abstractNumId="13" w15:restartNumberingAfterBreak="0">
    <w:nsid w:val="76F43957"/>
    <w:multiLevelType w:val="hybridMultilevel"/>
    <w:tmpl w:val="194CD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9E2F9B"/>
    <w:multiLevelType w:val="hybridMultilevel"/>
    <w:tmpl w:val="72082796"/>
    <w:lvl w:ilvl="0" w:tplc="293A183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1"/>
  </w:num>
  <w:num w:numId="4">
    <w:abstractNumId w:val="11"/>
  </w:num>
  <w:num w:numId="5">
    <w:abstractNumId w:val="6"/>
  </w:num>
  <w:num w:numId="6">
    <w:abstractNumId w:val="10"/>
  </w:num>
  <w:num w:numId="7">
    <w:abstractNumId w:val="14"/>
  </w:num>
  <w:num w:numId="8">
    <w:abstractNumId w:val="13"/>
  </w:num>
  <w:num w:numId="9">
    <w:abstractNumId w:val="3"/>
  </w:num>
  <w:num w:numId="10">
    <w:abstractNumId w:val="5"/>
  </w:num>
  <w:num w:numId="11">
    <w:abstractNumId w:val="4"/>
  </w:num>
  <w:num w:numId="12">
    <w:abstractNumId w:val="2"/>
  </w:num>
  <w:num w:numId="13">
    <w:abstractNumId w:val="0"/>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D3F"/>
    <w:rsid w:val="000178F8"/>
    <w:rsid w:val="0003788F"/>
    <w:rsid w:val="00044E70"/>
    <w:rsid w:val="00047896"/>
    <w:rsid w:val="0006071C"/>
    <w:rsid w:val="00076569"/>
    <w:rsid w:val="0008030B"/>
    <w:rsid w:val="000808FA"/>
    <w:rsid w:val="0009411C"/>
    <w:rsid w:val="00096041"/>
    <w:rsid w:val="000B2A70"/>
    <w:rsid w:val="000B6E27"/>
    <w:rsid w:val="000B7E09"/>
    <w:rsid w:val="000F4227"/>
    <w:rsid w:val="0012611C"/>
    <w:rsid w:val="001268FA"/>
    <w:rsid w:val="0013029E"/>
    <w:rsid w:val="0013035A"/>
    <w:rsid w:val="001639B3"/>
    <w:rsid w:val="00180293"/>
    <w:rsid w:val="00181C7B"/>
    <w:rsid w:val="00182116"/>
    <w:rsid w:val="00191B81"/>
    <w:rsid w:val="00196D70"/>
    <w:rsid w:val="00197CF7"/>
    <w:rsid w:val="001B0D3F"/>
    <w:rsid w:val="001C09D9"/>
    <w:rsid w:val="001D134D"/>
    <w:rsid w:val="001D6F84"/>
    <w:rsid w:val="00201068"/>
    <w:rsid w:val="0022389F"/>
    <w:rsid w:val="002365CF"/>
    <w:rsid w:val="002373C9"/>
    <w:rsid w:val="00241995"/>
    <w:rsid w:val="00243346"/>
    <w:rsid w:val="002761E5"/>
    <w:rsid w:val="002A21DF"/>
    <w:rsid w:val="002B0182"/>
    <w:rsid w:val="002E61A5"/>
    <w:rsid w:val="002F2357"/>
    <w:rsid w:val="002F78F9"/>
    <w:rsid w:val="00306172"/>
    <w:rsid w:val="0033461E"/>
    <w:rsid w:val="00346CA9"/>
    <w:rsid w:val="0034728E"/>
    <w:rsid w:val="00347CDF"/>
    <w:rsid w:val="00361FB0"/>
    <w:rsid w:val="00383AC0"/>
    <w:rsid w:val="00397D18"/>
    <w:rsid w:val="003B5E36"/>
    <w:rsid w:val="003D663C"/>
    <w:rsid w:val="003F12C5"/>
    <w:rsid w:val="00402BF5"/>
    <w:rsid w:val="00413319"/>
    <w:rsid w:val="0042130C"/>
    <w:rsid w:val="00423F7F"/>
    <w:rsid w:val="0042690D"/>
    <w:rsid w:val="004304B4"/>
    <w:rsid w:val="00442531"/>
    <w:rsid w:val="00475715"/>
    <w:rsid w:val="0049341F"/>
    <w:rsid w:val="004A29A3"/>
    <w:rsid w:val="004B44E9"/>
    <w:rsid w:val="004C3119"/>
    <w:rsid w:val="00504CC6"/>
    <w:rsid w:val="0052658E"/>
    <w:rsid w:val="00543D8C"/>
    <w:rsid w:val="00553B4A"/>
    <w:rsid w:val="00554B65"/>
    <w:rsid w:val="005837E3"/>
    <w:rsid w:val="00584303"/>
    <w:rsid w:val="00586A73"/>
    <w:rsid w:val="005C3E66"/>
    <w:rsid w:val="005E602A"/>
    <w:rsid w:val="006174C6"/>
    <w:rsid w:val="006208D3"/>
    <w:rsid w:val="0062159B"/>
    <w:rsid w:val="006325E1"/>
    <w:rsid w:val="006477F7"/>
    <w:rsid w:val="00650668"/>
    <w:rsid w:val="00680F89"/>
    <w:rsid w:val="006848F7"/>
    <w:rsid w:val="006A2EC7"/>
    <w:rsid w:val="006C24AA"/>
    <w:rsid w:val="006D285E"/>
    <w:rsid w:val="006F2E3E"/>
    <w:rsid w:val="007041E2"/>
    <w:rsid w:val="00716807"/>
    <w:rsid w:val="00756297"/>
    <w:rsid w:val="007A261E"/>
    <w:rsid w:val="007C5F3E"/>
    <w:rsid w:val="007D1647"/>
    <w:rsid w:val="00815C70"/>
    <w:rsid w:val="0084427F"/>
    <w:rsid w:val="00845EC7"/>
    <w:rsid w:val="00850725"/>
    <w:rsid w:val="008553D1"/>
    <w:rsid w:val="008B0A35"/>
    <w:rsid w:val="00920633"/>
    <w:rsid w:val="00946AEA"/>
    <w:rsid w:val="009638B7"/>
    <w:rsid w:val="00966AEE"/>
    <w:rsid w:val="00970036"/>
    <w:rsid w:val="00992A1D"/>
    <w:rsid w:val="009B1A38"/>
    <w:rsid w:val="009C5881"/>
    <w:rsid w:val="009E2E2A"/>
    <w:rsid w:val="00A0212C"/>
    <w:rsid w:val="00A06016"/>
    <w:rsid w:val="00A70EF4"/>
    <w:rsid w:val="00A76F8B"/>
    <w:rsid w:val="00AC696F"/>
    <w:rsid w:val="00B01A1D"/>
    <w:rsid w:val="00B03003"/>
    <w:rsid w:val="00B06264"/>
    <w:rsid w:val="00B21350"/>
    <w:rsid w:val="00B52C88"/>
    <w:rsid w:val="00B75079"/>
    <w:rsid w:val="00BA07D7"/>
    <w:rsid w:val="00BA71F4"/>
    <w:rsid w:val="00BC070A"/>
    <w:rsid w:val="00BC52F2"/>
    <w:rsid w:val="00BF6A2E"/>
    <w:rsid w:val="00C00331"/>
    <w:rsid w:val="00C150DE"/>
    <w:rsid w:val="00C51421"/>
    <w:rsid w:val="00C54645"/>
    <w:rsid w:val="00C66D19"/>
    <w:rsid w:val="00C71708"/>
    <w:rsid w:val="00C96041"/>
    <w:rsid w:val="00CB2A7E"/>
    <w:rsid w:val="00CC3380"/>
    <w:rsid w:val="00D20403"/>
    <w:rsid w:val="00D43080"/>
    <w:rsid w:val="00D54377"/>
    <w:rsid w:val="00D64223"/>
    <w:rsid w:val="00D77230"/>
    <w:rsid w:val="00D853B8"/>
    <w:rsid w:val="00D873E0"/>
    <w:rsid w:val="00DB7836"/>
    <w:rsid w:val="00DC6C9E"/>
    <w:rsid w:val="00DD4677"/>
    <w:rsid w:val="00E16C76"/>
    <w:rsid w:val="00E43E5A"/>
    <w:rsid w:val="00E46EAD"/>
    <w:rsid w:val="00E50F69"/>
    <w:rsid w:val="00EB1630"/>
    <w:rsid w:val="00EB4588"/>
    <w:rsid w:val="00EC3E60"/>
    <w:rsid w:val="00EC4EF0"/>
    <w:rsid w:val="00EE7BE5"/>
    <w:rsid w:val="00F13A21"/>
    <w:rsid w:val="00F35656"/>
    <w:rsid w:val="00F4023D"/>
    <w:rsid w:val="00F52777"/>
    <w:rsid w:val="00F70A70"/>
    <w:rsid w:val="00F719F4"/>
    <w:rsid w:val="00F73B3F"/>
    <w:rsid w:val="00F94F6A"/>
    <w:rsid w:val="00FA6B5C"/>
    <w:rsid w:val="00FB4469"/>
    <w:rsid w:val="00FE31A4"/>
    <w:rsid w:val="00FE7F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95933"/>
  <w15:docId w15:val="{96D9D4D0-E0C8-46AD-B6B8-8C9E64673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color w:val="404040" w:themeColor="text1" w:themeTint="BF"/>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3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341F"/>
    <w:pPr>
      <w:ind w:left="720"/>
      <w:contextualSpacing/>
    </w:pPr>
  </w:style>
  <w:style w:type="paragraph" w:styleId="BodyText">
    <w:name w:val="Body Text"/>
    <w:basedOn w:val="Normal"/>
    <w:link w:val="BodyTextChar"/>
    <w:uiPriority w:val="1"/>
    <w:qFormat/>
    <w:rsid w:val="00850725"/>
    <w:pPr>
      <w:widowControl w:val="0"/>
      <w:spacing w:after="0" w:line="240" w:lineRule="auto"/>
      <w:ind w:left="684"/>
    </w:pPr>
    <w:rPr>
      <w:rFonts w:ascii="Sylfaen" w:eastAsia="Sylfaen" w:hAnsi="Sylfaen"/>
      <w:color w:val="auto"/>
      <w:sz w:val="22"/>
      <w:lang w:val="en-US"/>
    </w:rPr>
  </w:style>
  <w:style w:type="character" w:customStyle="1" w:styleId="BodyTextChar">
    <w:name w:val="Body Text Char"/>
    <w:basedOn w:val="DefaultParagraphFont"/>
    <w:link w:val="BodyText"/>
    <w:uiPriority w:val="1"/>
    <w:rsid w:val="00850725"/>
    <w:rPr>
      <w:rFonts w:ascii="Sylfaen" w:eastAsia="Sylfaen" w:hAnsi="Sylfaen"/>
      <w:color w:val="auto"/>
      <w:sz w:val="22"/>
      <w:lang w:val="en-US"/>
    </w:rPr>
  </w:style>
  <w:style w:type="paragraph" w:styleId="FootnoteText">
    <w:name w:val="footnote text"/>
    <w:basedOn w:val="Normal"/>
    <w:link w:val="FootnoteTextChar"/>
    <w:uiPriority w:val="99"/>
    <w:semiHidden/>
    <w:unhideWhenUsed/>
    <w:rsid w:val="00197CF7"/>
    <w:pPr>
      <w:spacing w:after="0" w:line="240" w:lineRule="auto"/>
    </w:pPr>
    <w:rPr>
      <w:rFonts w:asciiTheme="minorHAnsi" w:hAnsiTheme="minorHAnsi"/>
      <w:color w:val="auto"/>
      <w:szCs w:val="20"/>
      <w:lang w:val="en-US"/>
    </w:rPr>
  </w:style>
  <w:style w:type="character" w:customStyle="1" w:styleId="FootnoteTextChar">
    <w:name w:val="Footnote Text Char"/>
    <w:basedOn w:val="DefaultParagraphFont"/>
    <w:link w:val="FootnoteText"/>
    <w:uiPriority w:val="99"/>
    <w:semiHidden/>
    <w:rsid w:val="00197CF7"/>
    <w:rPr>
      <w:rFonts w:asciiTheme="minorHAnsi" w:hAnsiTheme="minorHAnsi"/>
      <w:color w:val="auto"/>
      <w:szCs w:val="20"/>
      <w:lang w:val="en-US"/>
    </w:rPr>
  </w:style>
  <w:style w:type="character" w:styleId="FootnoteReference">
    <w:name w:val="footnote reference"/>
    <w:basedOn w:val="DefaultParagraphFont"/>
    <w:uiPriority w:val="99"/>
    <w:semiHidden/>
    <w:unhideWhenUsed/>
    <w:rsid w:val="00197CF7"/>
    <w:rPr>
      <w:vertAlign w:val="superscript"/>
    </w:rPr>
  </w:style>
  <w:style w:type="character" w:styleId="Hyperlink">
    <w:name w:val="Hyperlink"/>
    <w:basedOn w:val="DefaultParagraphFont"/>
    <w:uiPriority w:val="99"/>
    <w:unhideWhenUsed/>
    <w:rsid w:val="00197CF7"/>
    <w:rPr>
      <w:color w:val="0000FF"/>
      <w:u w:val="single"/>
    </w:rPr>
  </w:style>
  <w:style w:type="character" w:styleId="UnresolvedMention">
    <w:name w:val="Unresolved Mention"/>
    <w:basedOn w:val="DefaultParagraphFont"/>
    <w:uiPriority w:val="99"/>
    <w:semiHidden/>
    <w:unhideWhenUsed/>
    <w:rsid w:val="00B750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094DA-C562-4D66-9DBE-C993C3EBF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1340</Words>
  <Characters>7639</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Luck</dc:creator>
  <cp:keywords/>
  <dc:description/>
  <cp:lastModifiedBy>Tatuna</cp:lastModifiedBy>
  <cp:revision>2</cp:revision>
  <dcterms:created xsi:type="dcterms:W3CDTF">2022-05-06T10:08:00Z</dcterms:created>
  <dcterms:modified xsi:type="dcterms:W3CDTF">2022-05-06T10:08:00Z</dcterms:modified>
</cp:coreProperties>
</file>